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E1857">
      <w:pPr>
        <w:keepNext w:val="0"/>
        <w:keepLines w:val="0"/>
        <w:pageBreakBefore w:val="0"/>
        <w:kinsoku/>
        <w:wordWrap/>
        <w:overflowPunct/>
        <w:topLinePunct w:val="0"/>
        <w:autoSpaceDE/>
        <w:autoSpaceDN/>
        <w:bidi w:val="0"/>
        <w:adjustRightInd w:val="0"/>
        <w:snapToGrid w:val="0"/>
        <w:spacing w:line="560" w:lineRule="exact"/>
        <w:ind w:right="128" w:rightChars="40"/>
        <w:jc w:val="center"/>
        <w:textAlignment w:val="auto"/>
        <w:rPr>
          <w:rFonts w:hint="default" w:ascii="方正小标宋简体" w:hAnsi="黑体" w:eastAsia="方正小标宋简体" w:cs="黑体"/>
          <w:sz w:val="44"/>
          <w:szCs w:val="44"/>
          <w:highlight w:val="none"/>
          <w:lang w:val="en-US" w:eastAsia="zh-CN"/>
        </w:rPr>
      </w:pPr>
      <w:r>
        <w:rPr>
          <w:rFonts w:hint="default" w:ascii="方正小标宋简体" w:hAnsi="黑体" w:eastAsia="方正小标宋简体" w:cs="黑体"/>
          <w:sz w:val="44"/>
          <w:szCs w:val="44"/>
          <w:highlight w:val="none"/>
          <w:lang w:val="en-US" w:eastAsia="zh-CN"/>
        </w:rPr>
        <w:t>天津港（集团）有限公司</w:t>
      </w:r>
      <w:r>
        <w:rPr>
          <w:rFonts w:hint="eastAsia" w:ascii="方正小标宋简体" w:hAnsi="黑体" w:eastAsia="方正小标宋简体" w:cs="黑体"/>
          <w:sz w:val="44"/>
          <w:szCs w:val="44"/>
          <w:highlight w:val="none"/>
          <w:lang w:val="en-US" w:eastAsia="zh-CN"/>
        </w:rPr>
        <w:t>招标采购</w:t>
      </w:r>
      <w:r>
        <w:rPr>
          <w:rFonts w:hint="default" w:ascii="方正小标宋简体" w:hAnsi="黑体" w:eastAsia="方正小标宋简体" w:cs="黑体"/>
          <w:sz w:val="44"/>
          <w:szCs w:val="44"/>
          <w:highlight w:val="none"/>
          <w:lang w:val="en-US" w:eastAsia="zh-CN"/>
        </w:rPr>
        <w:t>服务中心</w:t>
      </w:r>
      <w:r>
        <w:rPr>
          <w:rFonts w:hint="eastAsia" w:ascii="方正小标宋简体" w:hAnsi="黑体" w:eastAsia="方正小标宋简体" w:cs="黑体"/>
          <w:sz w:val="44"/>
          <w:szCs w:val="44"/>
          <w:highlight w:val="none"/>
          <w:lang w:val="en-US" w:eastAsia="zh-CN"/>
        </w:rPr>
        <w:t>天津港阳光智采平台管理办法</w:t>
      </w:r>
    </w:p>
    <w:p w14:paraId="23987ACE">
      <w:pPr>
        <w:keepNext w:val="0"/>
        <w:keepLines w:val="0"/>
        <w:pageBreakBefore w:val="0"/>
        <w:widowControl w:val="0"/>
        <w:kinsoku/>
        <w:wordWrap/>
        <w:overflowPunct/>
        <w:topLinePunct w:val="0"/>
        <w:autoSpaceDN/>
        <w:bidi w:val="0"/>
        <w:spacing w:line="560" w:lineRule="exact"/>
        <w:textAlignment w:val="auto"/>
        <w:rPr>
          <w:rFonts w:hint="eastAsia"/>
          <w:lang w:val="en-US" w:eastAsia="zh-CN"/>
        </w:rPr>
      </w:pPr>
    </w:p>
    <w:p w14:paraId="1DF86AB9">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第一章  总则</w:t>
      </w:r>
    </w:p>
    <w:p w14:paraId="12D0698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宋体"/>
          <w:kern w:val="0"/>
          <w:sz w:val="32"/>
          <w:szCs w:val="32"/>
          <w:highlight w:val="none"/>
          <w:shd w:val="clear" w:color="auto" w:fill="FFFFFF"/>
          <w:lang w:val="en-US" w:eastAsia="zh-CN"/>
        </w:rPr>
      </w:pPr>
      <w:r>
        <w:rPr>
          <w:rFonts w:hint="eastAsia" w:ascii="楷体_GB2312" w:hAnsi="楷体_GB2312" w:eastAsia="楷体_GB2312" w:cs="楷体_GB2312"/>
          <w:sz w:val="32"/>
          <w:szCs w:val="32"/>
          <w:highlight w:val="none"/>
          <w:lang w:val="en-US" w:eastAsia="zh-CN"/>
        </w:rPr>
        <w:t>第一条</w:t>
      </w:r>
      <w:r>
        <w:rPr>
          <w:rFonts w:hint="eastAsia" w:ascii="仿宋_GB2312" w:hAnsi="仿宋" w:eastAsia="仿宋_GB2312" w:cs="宋体"/>
          <w:kern w:val="0"/>
          <w:sz w:val="32"/>
          <w:szCs w:val="32"/>
          <w:highlight w:val="none"/>
          <w:shd w:val="clear" w:color="auto" w:fill="FFFFFF"/>
          <w:lang w:val="en-US" w:eastAsia="zh-CN"/>
        </w:rPr>
        <w:t xml:space="preserve"> 为规范天津港（集团）有限公司招标采购服务中心（以下简称“招采服务中心”）天津港阳光智采平台的管理、运营，落实国家《电子招标投标办法》《网络安全法》《数据安全法》及国资信息化监管要求，提升平台管理标准化、安全化、规范化水平，强化全流程线上管控、痕迹留痕与风险防控，结合集团集采管理、信息化管理相关制度，制定本办法。</w:t>
      </w:r>
    </w:p>
    <w:p w14:paraId="7623D154">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黑体" w:hAnsi="宋体" w:eastAsia="黑体" w:cs="黑体"/>
          <w:b w:val="0"/>
          <w:bCs w:val="0"/>
          <w:kern w:val="2"/>
          <w:sz w:val="32"/>
          <w:szCs w:val="32"/>
          <w:highlight w:val="none"/>
        </w:rPr>
      </w:pPr>
      <w:r>
        <w:rPr>
          <w:rFonts w:hint="eastAsia" w:ascii="楷体_GB2312" w:hAnsi="楷体_GB2312" w:eastAsia="楷体_GB2312" w:cs="楷体_GB2312"/>
          <w:sz w:val="32"/>
          <w:szCs w:val="32"/>
          <w:highlight w:val="none"/>
          <w:lang w:val="en-US" w:eastAsia="zh-CN"/>
        </w:rPr>
        <w:t>第二条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天津港集团各级全资、控股公司及经费单位（以下简称天津港集团各单位）应在招采服务中心的统一组织下开展招标投标采购活动（法招项目除外），依托阳光智采平台全面实施</w:t>
      </w:r>
      <w:bookmarkStart w:id="0" w:name="_GoBack"/>
      <w:bookmarkEnd w:id="0"/>
      <w:r>
        <w:rPr>
          <w:rFonts w:hint="eastAsia" w:ascii="仿宋_GB2312" w:hAnsi="Calibri" w:eastAsia="仿宋_GB2312" w:cs="仿宋_GB2312"/>
          <w:b w:val="0"/>
          <w:bCs w:val="0"/>
          <w:kern w:val="2"/>
          <w:sz w:val="32"/>
          <w:szCs w:val="32"/>
          <w:highlight w:val="none"/>
          <w:lang w:val="en-US" w:eastAsia="zh-CN" w:bidi="ar"/>
        </w:rPr>
        <w:t>电子化交易并接受采购活动全过程在线监管。本办法适用于在阳光智采平台上开展的所有活动。</w:t>
      </w:r>
    </w:p>
    <w:p w14:paraId="2294E576">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黑体" w:hAnsi="宋体" w:eastAsia="黑体" w:cs="黑体"/>
          <w:b w:val="0"/>
          <w:bCs w:val="0"/>
          <w:color w:val="auto"/>
          <w:kern w:val="2"/>
          <w:sz w:val="32"/>
          <w:szCs w:val="32"/>
          <w:highlight w:val="none"/>
        </w:rPr>
      </w:pPr>
      <w:r>
        <w:rPr>
          <w:rFonts w:hint="eastAsia" w:ascii="楷体_GB2312" w:hAnsi="楷体_GB2312" w:eastAsia="楷体_GB2312" w:cs="楷体_GB2312"/>
          <w:sz w:val="32"/>
          <w:szCs w:val="32"/>
          <w:highlight w:val="none"/>
          <w:lang w:val="en-US" w:eastAsia="zh-CN"/>
        </w:rPr>
        <w:t>第三条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本办法所称阳光智采平台，包含实施电子化招投标交易的天津港招采平台，以及承担</w:t>
      </w:r>
      <w:r>
        <w:rPr>
          <w:rFonts w:hint="eastAsia" w:ascii="仿宋_GB2312" w:hAnsi="Calibri" w:eastAsia="仿宋_GB2312" w:cs="仿宋_GB2312"/>
          <w:b w:val="0"/>
          <w:bCs w:val="0"/>
          <w:color w:val="auto"/>
          <w:kern w:val="2"/>
          <w:sz w:val="32"/>
          <w:szCs w:val="32"/>
          <w:highlight w:val="none"/>
          <w:lang w:val="en-US" w:eastAsia="zh-CN" w:bidi="ar"/>
        </w:rPr>
        <w:t>物资采购业务的天津港电子商城两个子系统，以下统称平台。平台所有线上注册、账号权限、证书签章、数据存储、系统运维、安全管控、信用管理、培训服务等管理事项，统一遵照本办法执行。</w:t>
      </w:r>
    </w:p>
    <w:p w14:paraId="5641C6F1">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kern w:val="2"/>
          <w:sz w:val="32"/>
          <w:szCs w:val="32"/>
          <w:highlight w:val="none"/>
        </w:rPr>
      </w:pPr>
      <w:r>
        <w:rPr>
          <w:rFonts w:hint="eastAsia" w:ascii="楷体_GB2312" w:hAnsi="楷体_GB2312" w:eastAsia="楷体_GB2312" w:cs="楷体_GB2312"/>
          <w:sz w:val="32"/>
          <w:szCs w:val="32"/>
          <w:highlight w:val="none"/>
          <w:lang w:val="en-US" w:eastAsia="zh-CN"/>
        </w:rPr>
        <w:t>第四条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color w:val="auto"/>
          <w:kern w:val="2"/>
          <w:sz w:val="32"/>
          <w:szCs w:val="32"/>
          <w:highlight w:val="none"/>
          <w:lang w:val="en-US" w:eastAsia="zh-CN" w:bidi="ar"/>
        </w:rPr>
        <w:t>集团公司科工管理部是招采服务中心的</w:t>
      </w:r>
      <w:r>
        <w:rPr>
          <w:rFonts w:hint="eastAsia" w:ascii="仿宋_GB2312" w:hAnsi="Calibri" w:eastAsia="仿宋_GB2312" w:cs="仿宋_GB2312"/>
          <w:b w:val="0"/>
          <w:bCs w:val="0"/>
          <w:kern w:val="2"/>
          <w:sz w:val="32"/>
          <w:szCs w:val="32"/>
          <w:highlight w:val="none"/>
          <w:lang w:val="en-US" w:eastAsia="zh-CN" w:bidi="ar"/>
        </w:rPr>
        <w:t>主管部室，对招采服务中心的工作开展进行监督指导。</w:t>
      </w:r>
    </w:p>
    <w:p w14:paraId="3D68EEA3">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第二章  管理原则</w:t>
      </w:r>
    </w:p>
    <w:p w14:paraId="5C25E66B">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黑体" w:hAnsi="宋体" w:eastAsia="黑体" w:cs="黑体"/>
          <w:b w:val="0"/>
          <w:bCs w:val="0"/>
          <w:kern w:val="2"/>
          <w:sz w:val="32"/>
          <w:szCs w:val="32"/>
          <w:highlight w:val="none"/>
        </w:rPr>
      </w:pPr>
      <w:r>
        <w:rPr>
          <w:rFonts w:hint="eastAsia" w:ascii="楷体_GB2312" w:hAnsi="楷体_GB2312" w:eastAsia="楷体_GB2312" w:cs="楷体_GB2312"/>
          <w:sz w:val="32"/>
          <w:szCs w:val="32"/>
          <w:highlight w:val="none"/>
          <w:lang w:val="en-US" w:eastAsia="zh-CN"/>
        </w:rPr>
        <w:t>第五条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highlight w:val="none"/>
          <w:lang w:val="en-US" w:eastAsia="zh-CN" w:bidi="ar"/>
        </w:rPr>
        <w:t>规范高效原则。平台所有采购活动、管理事项通过线上系统完成，各管理操作环节全程留痕，实现采购全生命周期管理。</w:t>
      </w:r>
    </w:p>
    <w:p w14:paraId="06C9C8C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color w:val="0000FF"/>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第六条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权责对等原则。各岗位在平台上的职权与责任相统一，遵循“谁产生数据、谁负责”的要求，确保在平台上开展活动所产生的数据真实、准确、可追溯。平台使用人员对平台账号权限、CA证书、后台数据修改、系统配置、信用认定等操作行为及产生的管理数据真实性、合规性终身负责，不因调岗、离职免除责任。</w:t>
      </w:r>
    </w:p>
    <w:p w14:paraId="506565FC">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highlight w:val="none"/>
        </w:rPr>
      </w:pPr>
      <w:r>
        <w:rPr>
          <w:rFonts w:hint="eastAsia" w:ascii="楷体_GB2312" w:hAnsi="楷体_GB2312" w:eastAsia="楷体_GB2312" w:cs="楷体_GB2312"/>
          <w:sz w:val="32"/>
          <w:szCs w:val="32"/>
          <w:highlight w:val="none"/>
          <w:lang w:val="en-US" w:eastAsia="zh-CN"/>
        </w:rPr>
        <w:t>第七条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全程可溯原则。坚持“管理留痕、过程受控、档案留存、永久追溯”的理念，推进招采服务中心信息化建设，确保各项管理操作可查、可溯。平台设有工单模块，用于权限申请、权限调整、报表申请等需要跨单位、跨部门协同的事项，相关事项应通过工单模块发起、审批、归档，实现全流程线上化闭环管理。</w:t>
      </w:r>
    </w:p>
    <w:p w14:paraId="37EFE102">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第八条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安全合规原则。平台建立健全安全管理制度和技术防护体系，保障平台运行安全、数据安全及用户信息安全。</w:t>
      </w:r>
    </w:p>
    <w:p w14:paraId="20989AEC">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第九条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公平诚信原则。平台为天津港集团各单位、供应商及代理机构提供公平参与竞争的交易环境，各参与主体应遵循公开透明、公平竞争、诚实信用的市场准则，不得以任何形式实施围标串标、虚假交易等违法违规行为。</w:t>
      </w:r>
    </w:p>
    <w:p w14:paraId="1CE5FAAB">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default"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第三章  各方主体责任</w:t>
      </w:r>
    </w:p>
    <w:p w14:paraId="5BC02190">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highlight w:val="none"/>
        </w:rPr>
      </w:pPr>
      <w:r>
        <w:rPr>
          <w:rFonts w:hint="eastAsia" w:ascii="楷体_GB2312" w:hAnsi="楷体_GB2312" w:eastAsia="楷体_GB2312" w:cs="楷体_GB2312"/>
          <w:sz w:val="32"/>
          <w:szCs w:val="32"/>
          <w:highlight w:val="none"/>
          <w:lang w:val="en-US" w:eastAsia="zh-CN"/>
        </w:rPr>
        <w:t>第十条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highlight w:val="none"/>
          <w:lang w:val="en-US" w:eastAsia="zh-CN" w:bidi="ar"/>
        </w:rPr>
        <w:t>采购人、招标代理机构、供应商、专家等参与电子招标投标活动的各方主体，应当办理注册登记、数字证书及电子印章，并作出信用承诺，对其提供信息的真实性、完整性和准确性负责。各方主体应当使用数字证书及电子印章开展电子招标投标活动，在电子交易系统中进行的与电子招标投标活动相关操作均具有法律效力，并承担法律责任。</w:t>
      </w:r>
    </w:p>
    <w:p w14:paraId="68000FC3">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第十一条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highlight w:val="none"/>
          <w:lang w:val="en-US" w:eastAsia="zh-CN"/>
        </w:rPr>
        <w:t>采购人。采购人指</w:t>
      </w:r>
      <w:r>
        <w:rPr>
          <w:rFonts w:hint="eastAsia" w:ascii="仿宋_GB2312" w:hAnsi="Calibri" w:eastAsia="仿宋_GB2312" w:cs="仿宋_GB2312"/>
          <w:b w:val="0"/>
          <w:bCs w:val="0"/>
          <w:kern w:val="2"/>
          <w:sz w:val="32"/>
          <w:szCs w:val="32"/>
          <w:highlight w:val="none"/>
          <w:lang w:val="en-US" w:eastAsia="zh-CN" w:bidi="ar"/>
        </w:rPr>
        <w:t>天津港集团各单位</w:t>
      </w:r>
      <w:r>
        <w:rPr>
          <w:rFonts w:hint="eastAsia" w:ascii="仿宋_GB2312" w:hAnsi="仿宋_GB2312" w:eastAsia="仿宋_GB2312" w:cs="仿宋_GB2312"/>
          <w:sz w:val="32"/>
          <w:szCs w:val="32"/>
          <w:highlight w:val="none"/>
          <w:lang w:val="en-US" w:eastAsia="zh-CN"/>
        </w:rPr>
        <w:t>，采购人应统筹落实本单位平台内部全流程管理工作。采购人管理责任清单：</w:t>
      </w:r>
    </w:p>
    <w:p w14:paraId="6C94B2AE">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（一）</w:t>
      </w:r>
      <w:r>
        <w:rPr>
          <w:rFonts w:hint="eastAsia" w:ascii="仿宋_GB2312" w:hAnsi="仿宋_GB2312" w:eastAsia="仿宋_GB2312" w:cs="仿宋_GB2312"/>
          <w:sz w:val="32"/>
          <w:szCs w:val="32"/>
          <w:highlight w:val="none"/>
          <w:lang w:val="en-US" w:eastAsia="zh-CN"/>
        </w:rPr>
        <w:t>设置专职系统管理员、签章管理员，明确岗位管理权责，建立内部账号、CA领用、保管、交接台账</w:t>
      </w:r>
      <w:r>
        <w:rPr>
          <w:rFonts w:hint="eastAsia" w:ascii="仿宋_GB2312" w:hAnsi="Calibri" w:eastAsia="仿宋_GB2312" w:cs="仿宋_GB2312"/>
          <w:b w:val="0"/>
          <w:bCs w:val="0"/>
          <w:kern w:val="2"/>
          <w:sz w:val="32"/>
          <w:szCs w:val="32"/>
          <w:highlight w:val="none"/>
          <w:lang w:val="en-US" w:eastAsia="zh-CN" w:bidi="ar"/>
        </w:rPr>
        <w:t>。</w:t>
      </w:r>
    </w:p>
    <w:p w14:paraId="5FE1C23D">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（二）各单位</w:t>
      </w:r>
      <w:r>
        <w:rPr>
          <w:rFonts w:hint="eastAsia" w:ascii="仿宋_GB2312" w:hAnsi="仿宋_GB2312" w:eastAsia="仿宋_GB2312" w:cs="仿宋_GB2312"/>
          <w:sz w:val="32"/>
          <w:szCs w:val="32"/>
          <w:highlight w:val="none"/>
          <w:lang w:val="en-US" w:eastAsia="zh-CN"/>
        </w:rPr>
        <w:t>系</w:t>
      </w:r>
      <w:r>
        <w:rPr>
          <w:rFonts w:hint="eastAsia" w:ascii="仿宋_GB2312" w:hAnsi="Calibri" w:eastAsia="仿宋_GB2312" w:cs="仿宋_GB2312"/>
          <w:b w:val="0"/>
          <w:bCs w:val="0"/>
          <w:kern w:val="2"/>
          <w:sz w:val="32"/>
          <w:szCs w:val="32"/>
          <w:highlight w:val="none"/>
          <w:lang w:val="en-US" w:eastAsia="zh-CN" w:bidi="ar"/>
        </w:rPr>
        <w:t>统管理员应根据本单位员工调岗、离职情况，及时调整平台权限。</w:t>
      </w:r>
    </w:p>
    <w:p w14:paraId="7CE03885">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（三）定期开展单位账号、证书使用自查，留存自查记录备查。</w:t>
      </w:r>
    </w:p>
    <w:p w14:paraId="4DBE4285">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（四）对本单位人员转借账号、泄露密码、越权访问等违规行为承担所有责任。</w:t>
      </w:r>
    </w:p>
    <w:p w14:paraId="36BBE310">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kern w:val="2"/>
          <w:sz w:val="32"/>
          <w:szCs w:val="32"/>
          <w:highlight w:val="none"/>
          <w:lang w:val="en-US" w:eastAsia="zh-CN" w:bidi="ar"/>
        </w:rPr>
      </w:pPr>
      <w:r>
        <w:rPr>
          <w:rFonts w:hint="eastAsia" w:ascii="仿宋_GB2312" w:hAnsi="Calibri" w:eastAsia="仿宋_GB2312" w:cs="仿宋_GB2312"/>
          <w:b w:val="0"/>
          <w:bCs w:val="0"/>
          <w:color w:val="auto"/>
          <w:kern w:val="2"/>
          <w:sz w:val="32"/>
          <w:szCs w:val="32"/>
          <w:highlight w:val="none"/>
          <w:lang w:val="en-US" w:eastAsia="zh-CN" w:bidi="ar"/>
        </w:rPr>
        <w:t>（五）严格执行平台管理规定，所有权限、证书变更通过线上流程办理，杜绝线下办理。</w:t>
      </w:r>
    </w:p>
    <w:p w14:paraId="79EE034C">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color w:val="0000FF"/>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第十二条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供应商。供应商是指通过平台注册的，为采购单位提供货物、工程或服务的法人单位、其他组织或个体工商户等。供应商</w:t>
      </w:r>
      <w:r>
        <w:rPr>
          <w:rFonts w:hint="eastAsia" w:ascii="仿宋_GB2312" w:hAnsi="仿宋_GB2312" w:eastAsia="仿宋_GB2312" w:cs="仿宋_GB2312"/>
          <w:sz w:val="32"/>
          <w:szCs w:val="32"/>
          <w:highlight w:val="none"/>
          <w:lang w:val="en-US" w:eastAsia="zh-CN"/>
        </w:rPr>
        <w:t>管理责任清单：</w:t>
      </w:r>
    </w:p>
    <w:p w14:paraId="513D2BE7">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（一）建立企业内部账号、CA证书专人保管制度，妥善保管数字证书。</w:t>
      </w:r>
    </w:p>
    <w:p w14:paraId="70015C29">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（二）严禁转借、出租、买卖、冒用平台账号与CA电子签章。</w:t>
      </w:r>
    </w:p>
    <w:p w14:paraId="4724AD13">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（三）</w:t>
      </w:r>
      <w:r>
        <w:rPr>
          <w:rFonts w:hint="eastAsia" w:ascii="仿宋_GB2312" w:hAnsi="Calibri" w:eastAsia="仿宋_GB2312" w:cs="仿宋_GB2312"/>
          <w:b w:val="0"/>
          <w:bCs w:val="0"/>
          <w:color w:val="auto"/>
          <w:kern w:val="2"/>
          <w:sz w:val="32"/>
          <w:szCs w:val="32"/>
          <w:highlight w:val="none"/>
          <w:lang w:val="en-US" w:eastAsia="zh-CN" w:bidi="ar"/>
        </w:rPr>
        <w:t>账号、证书密码泄露应立即修改密码。</w:t>
      </w:r>
    </w:p>
    <w:p w14:paraId="3B1A6AB6">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kern w:val="2"/>
          <w:sz w:val="32"/>
          <w:szCs w:val="32"/>
          <w:highlight w:val="none"/>
          <w:lang w:val="en-US" w:eastAsia="zh-CN" w:bidi="ar"/>
        </w:rPr>
      </w:pPr>
      <w:r>
        <w:rPr>
          <w:rFonts w:hint="eastAsia" w:ascii="仿宋_GB2312" w:hAnsi="Calibri" w:eastAsia="仿宋_GB2312" w:cs="仿宋_GB2312"/>
          <w:b w:val="0"/>
          <w:bCs w:val="0"/>
          <w:kern w:val="2"/>
          <w:sz w:val="32"/>
          <w:szCs w:val="32"/>
          <w:highlight w:val="none"/>
          <w:lang w:val="en-US" w:eastAsia="zh-CN" w:bidi="ar"/>
        </w:rPr>
        <w:t>（四）遵守平台运行规则，维护公平竞争环境，不得以不正当手段参与采购活动，对所提供信息和参与行为的真实性、合法性</w:t>
      </w:r>
      <w:r>
        <w:rPr>
          <w:rFonts w:hint="eastAsia" w:ascii="仿宋_GB2312" w:hAnsi="Calibri" w:eastAsia="仿宋_GB2312" w:cs="仿宋_GB2312"/>
          <w:b w:val="0"/>
          <w:bCs w:val="0"/>
          <w:color w:val="auto"/>
          <w:kern w:val="2"/>
          <w:sz w:val="32"/>
          <w:szCs w:val="32"/>
          <w:highlight w:val="none"/>
          <w:lang w:val="en-US" w:eastAsia="zh-CN" w:bidi="ar"/>
        </w:rPr>
        <w:t>承担责任。</w:t>
      </w:r>
    </w:p>
    <w:p w14:paraId="5A782196">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kern w:val="2"/>
          <w:sz w:val="32"/>
          <w:szCs w:val="32"/>
          <w:highlight w:val="none"/>
          <w:lang w:val="en-US" w:eastAsia="zh-CN" w:bidi="ar"/>
        </w:rPr>
      </w:pPr>
      <w:r>
        <w:rPr>
          <w:rFonts w:hint="eastAsia" w:ascii="仿宋_GB2312" w:hAnsi="Calibri" w:eastAsia="仿宋_GB2312" w:cs="仿宋_GB2312"/>
          <w:b w:val="0"/>
          <w:bCs w:val="0"/>
          <w:color w:val="auto"/>
          <w:kern w:val="2"/>
          <w:sz w:val="32"/>
          <w:szCs w:val="32"/>
          <w:highlight w:val="none"/>
          <w:lang w:val="en-US" w:eastAsia="zh-CN" w:bidi="ar"/>
        </w:rPr>
        <w:t>（五）企业名称、法定代表人、联系人及联系方式等信息，应于投标截止时间前至少5个工作日完成平台信息变更。</w:t>
      </w:r>
    </w:p>
    <w:p w14:paraId="412DD991">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highlight w:val="none"/>
        </w:rPr>
      </w:pPr>
      <w:r>
        <w:rPr>
          <w:rFonts w:hint="eastAsia" w:ascii="楷体_GB2312" w:hAnsi="楷体_GB2312" w:eastAsia="楷体_GB2312" w:cs="楷体_GB2312"/>
          <w:sz w:val="32"/>
          <w:szCs w:val="32"/>
          <w:highlight w:val="none"/>
          <w:lang w:val="en-US" w:eastAsia="zh-CN"/>
        </w:rPr>
        <w:t>第十三条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highlight w:val="none"/>
          <w:lang w:val="en-US" w:eastAsia="zh-CN"/>
        </w:rPr>
        <w:t>招采服务中心。</w:t>
      </w:r>
      <w:r>
        <w:rPr>
          <w:rFonts w:hint="eastAsia" w:ascii="仿宋_GB2312" w:hAnsi="Calibri" w:eastAsia="仿宋_GB2312" w:cs="仿宋_GB2312"/>
          <w:b w:val="0"/>
          <w:bCs w:val="0"/>
          <w:kern w:val="2"/>
          <w:sz w:val="32"/>
          <w:szCs w:val="32"/>
          <w:highlight w:val="none"/>
          <w:lang w:val="en-US" w:eastAsia="zh-CN" w:bidi="ar"/>
        </w:rPr>
        <w:t>招采服务中心是平台的运行服务机构，接受上级部室监督，负责采购计划管理、采购立项审核、采购环节审批、采购流程管理、供应商管理、专家管理，负责账务核实与结算，负责客户满意及投诉情况，负责监督审计以及编撰材料，</w:t>
      </w:r>
      <w:r>
        <w:rPr>
          <w:rFonts w:hint="eastAsia" w:ascii="仿宋_GB2312" w:hAnsi="仿宋_GB2312" w:eastAsia="仿宋_GB2312" w:cs="仿宋_GB2312"/>
          <w:sz w:val="32"/>
          <w:szCs w:val="32"/>
          <w:highlight w:val="none"/>
          <w:lang w:val="en-US" w:eastAsia="zh-CN"/>
        </w:rPr>
        <w:t>负责平台信息化建设与功能优化升级、平台故障的排查，负责编制、印发、修订平台管理办法，负责组织开展平台使用培训，负责权限角色配置、报表配置、平台安全策略配置与监控、平台签章管理</w:t>
      </w:r>
      <w:r>
        <w:rPr>
          <w:rFonts w:hint="eastAsia" w:ascii="仿宋_GB2312" w:hAnsi="Calibri" w:eastAsia="仿宋_GB2312" w:cs="仿宋_GB2312"/>
          <w:kern w:val="2"/>
          <w:sz w:val="32"/>
          <w:szCs w:val="32"/>
          <w:highlight w:val="none"/>
          <w:lang w:val="en-US" w:eastAsia="zh-CN" w:bidi="ar"/>
        </w:rPr>
        <w:t>。</w:t>
      </w:r>
    </w:p>
    <w:p w14:paraId="56C69463">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color w:val="0000FF"/>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第十四条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highlight w:val="none"/>
          <w:lang w:val="en-US" w:eastAsia="zh-CN" w:bidi="ar"/>
        </w:rPr>
        <w:t>招标代理机构</w:t>
      </w:r>
      <w:r>
        <w:rPr>
          <w:rFonts w:hint="eastAsia" w:ascii="仿宋_GB2312" w:hAnsi="仿宋_GB2312" w:eastAsia="仿宋_GB2312" w:cs="仿宋_GB2312"/>
          <w:sz w:val="32"/>
          <w:szCs w:val="32"/>
          <w:highlight w:val="none"/>
          <w:lang w:val="en-US" w:eastAsia="zh-CN"/>
        </w:rPr>
        <w:t>。</w:t>
      </w:r>
      <w:r>
        <w:rPr>
          <w:rFonts w:hint="eastAsia" w:ascii="仿宋_GB2312" w:hAnsi="Calibri" w:eastAsia="仿宋_GB2312" w:cs="仿宋_GB2312"/>
          <w:kern w:val="2"/>
          <w:sz w:val="32"/>
          <w:szCs w:val="32"/>
          <w:highlight w:val="none"/>
          <w:lang w:val="en-US" w:eastAsia="zh-CN" w:bidi="ar"/>
        </w:rPr>
        <w:t>招标代理机构</w:t>
      </w:r>
      <w:r>
        <w:rPr>
          <w:rFonts w:hint="eastAsia" w:ascii="仿宋_GB2312" w:hAnsi="仿宋_GB2312" w:eastAsia="仿宋_GB2312" w:cs="仿宋_GB2312"/>
          <w:sz w:val="32"/>
          <w:szCs w:val="32"/>
          <w:highlight w:val="none"/>
          <w:lang w:val="en-US" w:eastAsia="zh-CN"/>
        </w:rPr>
        <w:t>负责开展招标业务，编制招标文件，组织开标评标，发放中标通知书，招标项目资料归档、移交。</w:t>
      </w:r>
    </w:p>
    <w:p w14:paraId="2A910B1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color w:val="0000FF"/>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第十五条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highlight w:val="none"/>
          <w:lang w:val="en-US" w:eastAsia="zh-CN" w:bidi="ar"/>
        </w:rPr>
        <w:t>评审专家</w:t>
      </w:r>
      <w:r>
        <w:rPr>
          <w:rFonts w:hint="eastAsia" w:ascii="仿宋_GB2312" w:hAnsi="Calibri" w:eastAsia="仿宋_GB2312" w:cs="仿宋_GB2312"/>
          <w:b w:val="0"/>
          <w:bCs w:val="0"/>
          <w:color w:val="auto"/>
          <w:kern w:val="2"/>
          <w:sz w:val="32"/>
          <w:szCs w:val="32"/>
          <w:highlight w:val="none"/>
          <w:lang w:val="en-US" w:eastAsia="zh-CN" w:bidi="ar"/>
        </w:rPr>
        <w:t>。评审专家是指纳入平台专家库管理的、为采购活动提供评审服务的专业技术人员。评审专家</w:t>
      </w:r>
      <w:r>
        <w:rPr>
          <w:rFonts w:hint="eastAsia" w:ascii="仿宋_GB2312" w:hAnsi="仿宋_GB2312" w:eastAsia="仿宋_GB2312" w:cs="仿宋_GB2312"/>
          <w:color w:val="auto"/>
          <w:sz w:val="32"/>
          <w:szCs w:val="32"/>
          <w:highlight w:val="none"/>
          <w:lang w:val="en-US" w:eastAsia="zh-CN"/>
        </w:rPr>
        <w:t>责任清单：</w:t>
      </w:r>
    </w:p>
    <w:p w14:paraId="20EA876B">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kern w:val="2"/>
          <w:sz w:val="32"/>
          <w:szCs w:val="32"/>
          <w:highlight w:val="none"/>
          <w:lang w:val="en-US" w:eastAsia="zh-CN" w:bidi="ar"/>
        </w:rPr>
      </w:pPr>
      <w:r>
        <w:rPr>
          <w:rFonts w:hint="eastAsia" w:ascii="仿宋_GB2312" w:hAnsi="Calibri" w:eastAsia="仿宋_GB2312" w:cs="仿宋_GB2312"/>
          <w:b w:val="0"/>
          <w:bCs w:val="0"/>
          <w:color w:val="auto"/>
          <w:kern w:val="2"/>
          <w:sz w:val="32"/>
          <w:szCs w:val="32"/>
          <w:highlight w:val="none"/>
          <w:lang w:val="en-US" w:eastAsia="zh-CN" w:bidi="ar"/>
        </w:rPr>
        <w:t>（一）</w:t>
      </w:r>
      <w:r>
        <w:rPr>
          <w:rFonts w:hint="eastAsia" w:ascii="仿宋_GB2312" w:hAnsi="仿宋_GB2312" w:eastAsia="仿宋_GB2312" w:cs="仿宋_GB2312"/>
          <w:color w:val="auto"/>
          <w:sz w:val="32"/>
          <w:szCs w:val="32"/>
          <w:highlight w:val="none"/>
        </w:rPr>
        <w:t>妥善保管个人CA数字证书、登录账号密码，严禁转借、转交他人</w:t>
      </w:r>
      <w:r>
        <w:rPr>
          <w:rFonts w:hint="eastAsia" w:ascii="仿宋_GB2312" w:hAnsi="仿宋_GB2312" w:eastAsia="仿宋_GB2312" w:cs="仿宋_GB2312"/>
          <w:color w:val="auto"/>
          <w:sz w:val="32"/>
          <w:szCs w:val="32"/>
          <w:highlight w:val="none"/>
          <w:lang w:eastAsia="zh-CN"/>
        </w:rPr>
        <w:t>。</w:t>
      </w:r>
    </w:p>
    <w:p w14:paraId="405370BB">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kern w:val="2"/>
          <w:sz w:val="32"/>
          <w:szCs w:val="32"/>
          <w:highlight w:val="none"/>
          <w:lang w:val="en-US" w:eastAsia="zh-CN" w:bidi="ar"/>
        </w:rPr>
      </w:pPr>
      <w:r>
        <w:rPr>
          <w:rFonts w:hint="eastAsia" w:ascii="仿宋_GB2312" w:hAnsi="Calibri" w:eastAsia="仿宋_GB2312" w:cs="仿宋_GB2312"/>
          <w:b w:val="0"/>
          <w:bCs w:val="0"/>
          <w:color w:val="auto"/>
          <w:kern w:val="2"/>
          <w:sz w:val="32"/>
          <w:szCs w:val="32"/>
          <w:highlight w:val="none"/>
          <w:lang w:val="en-US" w:eastAsia="zh-CN" w:bidi="ar"/>
        </w:rPr>
        <w:t>（二）</w:t>
      </w:r>
      <w:r>
        <w:rPr>
          <w:rFonts w:hint="eastAsia" w:ascii="仿宋_GB2312" w:hAnsi="仿宋_GB2312" w:eastAsia="仿宋_GB2312" w:cs="仿宋_GB2312"/>
          <w:color w:val="auto"/>
          <w:sz w:val="32"/>
          <w:szCs w:val="32"/>
          <w:highlight w:val="none"/>
        </w:rPr>
        <w:t>严格遵守平台保密管理规定，不得泄露系统内供应商、项目涉密信息</w:t>
      </w:r>
      <w:r>
        <w:rPr>
          <w:rFonts w:hint="eastAsia" w:ascii="仿宋_GB2312" w:hAnsi="Calibri" w:eastAsia="仿宋_GB2312" w:cs="仿宋_GB2312"/>
          <w:b w:val="0"/>
          <w:bCs w:val="0"/>
          <w:color w:val="auto"/>
          <w:kern w:val="2"/>
          <w:sz w:val="32"/>
          <w:szCs w:val="32"/>
          <w:highlight w:val="none"/>
          <w:lang w:val="en-US" w:eastAsia="zh-CN" w:bidi="ar"/>
        </w:rPr>
        <w:t>。</w:t>
      </w:r>
    </w:p>
    <w:p w14:paraId="264B33AF">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第四章  权限、角色与账号角色</w:t>
      </w:r>
    </w:p>
    <w:p w14:paraId="171761EA">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color w:val="0000FF"/>
          <w:kern w:val="2"/>
          <w:sz w:val="32"/>
          <w:szCs w:val="32"/>
          <w:highlight w:val="none"/>
          <w:lang w:val="en-US" w:eastAsia="zh-CN" w:bidi="ar"/>
        </w:rPr>
      </w:pPr>
      <w:r>
        <w:rPr>
          <w:rFonts w:hint="eastAsia" w:ascii="楷体_GB2312" w:hAnsi="楷体_GB2312" w:eastAsia="楷体_GB2312" w:cs="楷体_GB2312"/>
          <w:sz w:val="32"/>
          <w:szCs w:val="32"/>
          <w:highlight w:val="none"/>
          <w:lang w:val="en-US" w:eastAsia="zh-CN"/>
        </w:rPr>
        <w:t>第十六条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highlight w:val="none"/>
          <w:lang w:val="en-US" w:eastAsia="zh-CN"/>
        </w:rPr>
        <w:t>各采购单位需设置一名系统管理员，负责统筹完成本单位的审批流配置、采购权限角色授予、账号管理等工作。采购单位通过平台工单模块完</w:t>
      </w:r>
      <w:r>
        <w:rPr>
          <w:rFonts w:hint="eastAsia" w:ascii="仿宋_GB2312" w:hAnsi="仿宋_GB2312" w:eastAsia="仿宋_GB2312" w:cs="仿宋_GB2312"/>
          <w:color w:val="auto"/>
          <w:sz w:val="32"/>
          <w:szCs w:val="32"/>
          <w:highlight w:val="none"/>
          <w:lang w:val="en-US" w:eastAsia="zh-CN"/>
        </w:rPr>
        <w:t>成系统管理员权限申请、变更。</w:t>
      </w:r>
    </w:p>
    <w:p w14:paraId="1AC3CFFA">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kern w:val="2"/>
          <w:sz w:val="32"/>
          <w:szCs w:val="32"/>
          <w:highlight w:val="none"/>
        </w:rPr>
      </w:pPr>
      <w:r>
        <w:rPr>
          <w:rFonts w:hint="eastAsia" w:ascii="楷体_GB2312" w:hAnsi="楷体_GB2312" w:eastAsia="楷体_GB2312" w:cs="楷体_GB2312"/>
          <w:sz w:val="32"/>
          <w:szCs w:val="32"/>
          <w:highlight w:val="none"/>
          <w:lang w:val="en-US" w:eastAsia="zh-CN"/>
        </w:rPr>
        <w:t>第十七条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highlight w:val="none"/>
          <w:lang w:val="en-US" w:eastAsia="zh-CN" w:bidi="ar"/>
        </w:rPr>
        <w:t>招采服务中心统一完成各类通用权限角色的配置。权限角色分为采购权限角色与管理权限角色两类，采购权限角色为采购单位在平台进行采购活动所需要的权限角色，管理权限角色为招采服务中心及集团主管部室完成各类业务、管理及监督所需要的权限角色。采购权限角色由各采购单位系统管理员为本单位账号授予，管理权限角色由招采服务中心为招采服务中心各部室及集团主管部室授予。</w:t>
      </w:r>
    </w:p>
    <w:p w14:paraId="2A7541A2">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kern w:val="2"/>
          <w:sz w:val="32"/>
          <w:szCs w:val="32"/>
          <w:highlight w:val="none"/>
        </w:rPr>
      </w:pPr>
      <w:r>
        <w:rPr>
          <w:rFonts w:hint="eastAsia" w:ascii="楷体_GB2312" w:hAnsi="楷体_GB2312" w:eastAsia="楷体_GB2312" w:cs="楷体_GB2312"/>
          <w:sz w:val="32"/>
          <w:szCs w:val="32"/>
          <w:highlight w:val="none"/>
          <w:lang w:val="en-US" w:eastAsia="zh-CN"/>
        </w:rPr>
        <w:t>第十八条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highlight w:val="none"/>
          <w:lang w:val="en-US" w:eastAsia="zh-CN" w:bidi="ar"/>
        </w:rPr>
        <w:t>各采购单位的审批流配置及采购权限角色授予原则上由本单位系统管理员按各自公司管理规定自主完成，在平台没有审批流配置功能、权限角色配置功能的情况下，由招采服务中心辅助完成。各采购单位系统管理员可授权的权限角色主要为：</w:t>
      </w:r>
    </w:p>
    <w:p w14:paraId="207EE490">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highlight w:val="none"/>
        </w:rPr>
      </w:pPr>
      <w:r>
        <w:rPr>
          <w:rFonts w:hint="eastAsia" w:ascii="仿宋_GB2312" w:hAnsi="Calibri" w:eastAsia="仿宋_GB2312" w:cs="仿宋_GB2312"/>
          <w:b w:val="0"/>
          <w:bCs w:val="0"/>
          <w:kern w:val="2"/>
          <w:sz w:val="32"/>
          <w:szCs w:val="32"/>
          <w:highlight w:val="none"/>
          <w:lang w:val="en-US" w:eastAsia="zh-CN" w:bidi="ar"/>
        </w:rPr>
        <w:t>（一）招采平台采购员。该权限角色的数据权限可分为：本人、本部室、本公司等。被授予该权限角色的账号，可在招采平台上完成招标采购的全流程业务，可在招采平台上查看数据权限范围内的招标采购全流程业务数据。</w:t>
      </w:r>
    </w:p>
    <w:p w14:paraId="57016699">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highlight w:val="none"/>
        </w:rPr>
      </w:pPr>
      <w:r>
        <w:rPr>
          <w:rFonts w:hint="eastAsia" w:ascii="仿宋_GB2312" w:hAnsi="Calibri" w:eastAsia="仿宋_GB2312" w:cs="仿宋_GB2312"/>
          <w:b w:val="0"/>
          <w:bCs w:val="0"/>
          <w:kern w:val="2"/>
          <w:sz w:val="32"/>
          <w:szCs w:val="32"/>
          <w:highlight w:val="none"/>
          <w:lang w:val="en-US" w:eastAsia="zh-CN" w:bidi="ar"/>
        </w:rPr>
        <w:t>（二）招采平台数据查看。该权限角色的数据权限可分为：本人、本部室、本公司等。被授予该权限角色的账号，可在招采平台上查看数据权限范围内的招标采购全流程业务数据。</w:t>
      </w:r>
    </w:p>
    <w:p w14:paraId="1DEB32C1">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highlight w:val="none"/>
        </w:rPr>
      </w:pPr>
      <w:r>
        <w:rPr>
          <w:rFonts w:hint="eastAsia" w:ascii="仿宋_GB2312" w:hAnsi="Calibri" w:eastAsia="仿宋_GB2312" w:cs="仿宋_GB2312"/>
          <w:b w:val="0"/>
          <w:bCs w:val="0"/>
          <w:kern w:val="2"/>
          <w:sz w:val="32"/>
          <w:szCs w:val="32"/>
          <w:highlight w:val="none"/>
          <w:lang w:val="en-US" w:eastAsia="zh-CN" w:bidi="ar"/>
        </w:rPr>
        <w:t>（三）电子商城采购员。该权限角色的数据权限可分为：本人、本部室、本公司等。被授予该权限角色的账号，可在电子商城上完成下单、收货业务，可在电子商城上查看数据权限范围内的下单、收货业务数据。</w:t>
      </w:r>
    </w:p>
    <w:p w14:paraId="199F5082">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highlight w:val="none"/>
        </w:rPr>
      </w:pPr>
      <w:r>
        <w:rPr>
          <w:rFonts w:hint="eastAsia" w:ascii="仿宋_GB2312" w:hAnsi="Calibri" w:eastAsia="仿宋_GB2312" w:cs="仿宋_GB2312"/>
          <w:b w:val="0"/>
          <w:bCs w:val="0"/>
          <w:kern w:val="2"/>
          <w:sz w:val="32"/>
          <w:szCs w:val="32"/>
          <w:highlight w:val="none"/>
          <w:lang w:val="en-US" w:eastAsia="zh-CN" w:bidi="ar"/>
        </w:rPr>
        <w:t>（四）电子商城结算员。该权限角色的数据权限可分为：本人、本部室、本公司等。被授予该权限角色的账号，可在电子商城上完成对账、结算业务，可在电子商城上查看数据权限范围内的对账、结算业务数据。</w:t>
      </w:r>
    </w:p>
    <w:p w14:paraId="65643FE6">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kern w:val="2"/>
          <w:sz w:val="32"/>
          <w:szCs w:val="32"/>
          <w:highlight w:val="none"/>
        </w:rPr>
      </w:pPr>
      <w:r>
        <w:rPr>
          <w:rFonts w:hint="eastAsia" w:ascii="仿宋_GB2312" w:hAnsi="Calibri" w:eastAsia="仿宋_GB2312" w:cs="仿宋_GB2312"/>
          <w:b w:val="0"/>
          <w:bCs w:val="0"/>
          <w:kern w:val="2"/>
          <w:sz w:val="32"/>
          <w:szCs w:val="32"/>
          <w:highlight w:val="none"/>
          <w:lang w:val="en-US" w:eastAsia="zh-CN" w:bidi="ar"/>
        </w:rPr>
        <w:t>（五）电子商城数据查看。该权限角色的数据权限可分为：本人、本部室、本公司等。被授予该权限角色的账号，可在电子商城上查看数据权限范围内的商城采购全流程业务数据。</w:t>
      </w:r>
    </w:p>
    <w:p w14:paraId="0441B316">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color w:val="0000FF"/>
          <w:kern w:val="2"/>
          <w:sz w:val="32"/>
          <w:szCs w:val="32"/>
        </w:rPr>
      </w:pPr>
      <w:r>
        <w:rPr>
          <w:rFonts w:hint="eastAsia" w:ascii="楷体_GB2312" w:hAnsi="楷体_GB2312" w:eastAsia="楷体_GB2312" w:cs="楷体_GB2312"/>
          <w:sz w:val="32"/>
          <w:szCs w:val="32"/>
          <w:highlight w:val="none"/>
          <w:lang w:val="en-US" w:eastAsia="zh-CN"/>
        </w:rPr>
        <w:t>第十九条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lang w:val="en-US" w:eastAsia="zh-CN" w:bidi="ar"/>
        </w:rPr>
        <w:t>权限申请人员通过平台工单模块完成管理权限角色申请。</w:t>
      </w:r>
    </w:p>
    <w:p w14:paraId="224CEF08">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华文仿宋" w:eastAsia="仿宋_GB2312" w:cs="Times New Roman"/>
          <w:b w:val="0"/>
          <w:bCs/>
          <w:kern w:val="2"/>
          <w:sz w:val="32"/>
          <w:szCs w:val="32"/>
        </w:rPr>
      </w:pPr>
      <w:r>
        <w:rPr>
          <w:rFonts w:hint="eastAsia" w:ascii="楷体_GB2312" w:hAnsi="楷体_GB2312" w:eastAsia="楷体_GB2312" w:cs="楷体_GB2312"/>
          <w:sz w:val="32"/>
          <w:szCs w:val="32"/>
          <w:highlight w:val="none"/>
          <w:lang w:val="en-US" w:eastAsia="zh-CN"/>
        </w:rPr>
        <w:t>第二十条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lang w:val="en-US" w:eastAsia="zh-CN" w:bidi="ar"/>
        </w:rPr>
        <w:t>招采服务中心统一受理管理权限角色的权限申请工单，</w:t>
      </w:r>
      <w:r>
        <w:rPr>
          <w:rFonts w:hint="eastAsia" w:ascii="仿宋_GB2312" w:hAnsi="Calibri" w:eastAsia="仿宋_GB2312" w:cs="仿宋_GB2312"/>
          <w:kern w:val="2"/>
          <w:sz w:val="32"/>
          <w:szCs w:val="32"/>
        </w:rPr>
        <w:t>维护权限角色清单</w:t>
      </w:r>
      <w:r>
        <w:rPr>
          <w:rFonts w:hint="eastAsia" w:ascii="仿宋_GB2312" w:hAnsi="Calibri" w:eastAsia="仿宋_GB2312" w:cs="仿宋_GB2312"/>
          <w:color w:val="0000FF"/>
          <w:kern w:val="2"/>
          <w:sz w:val="32"/>
          <w:szCs w:val="32"/>
          <w:lang w:val="en-US" w:eastAsia="zh-CN" w:bidi="ar"/>
        </w:rPr>
        <w:t>。</w:t>
      </w:r>
    </w:p>
    <w:p w14:paraId="02E5939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华文仿宋" w:eastAsia="仿宋_GB2312" w:cs="Times New Roman"/>
          <w:b w:val="0"/>
          <w:bCs/>
          <w:color w:val="FF0000"/>
          <w:kern w:val="2"/>
          <w:sz w:val="32"/>
          <w:szCs w:val="32"/>
        </w:rPr>
      </w:pPr>
      <w:r>
        <w:rPr>
          <w:rFonts w:hint="eastAsia" w:ascii="楷体_GB2312" w:hAnsi="楷体_GB2312" w:eastAsia="楷体_GB2312" w:cs="楷体_GB2312"/>
          <w:sz w:val="32"/>
          <w:szCs w:val="32"/>
          <w:highlight w:val="none"/>
          <w:lang w:val="en-US" w:eastAsia="zh-CN"/>
        </w:rPr>
        <w:t>第二十一条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账号基础安全管控。平台与集团主数据系统对接，各采购单位的采购账号数据以集团主数据系统为准。各采购单</w:t>
      </w:r>
      <w:r>
        <w:rPr>
          <w:rFonts w:hint="eastAsia" w:ascii="仿宋_GB2312" w:hAnsi="Calibri" w:eastAsia="仿宋_GB2312" w:cs="仿宋_GB2312"/>
          <w:b w:val="0"/>
          <w:bCs w:val="0"/>
          <w:color w:val="auto"/>
          <w:kern w:val="2"/>
          <w:sz w:val="32"/>
          <w:szCs w:val="32"/>
          <w:lang w:val="en-US" w:eastAsia="zh-CN" w:bidi="ar"/>
        </w:rPr>
        <w:t>位需在集团主数据系统中完成账号配置，平台不再单独增设账号。平台实行“一人一号、实名绑定、人号对应”的刚性管理，严禁多人共用账号、借用他人账号、虚构人员开通闲置账号。</w:t>
      </w:r>
    </w:p>
    <w:p w14:paraId="697210CA">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lang w:val="en-US" w:eastAsia="zh-CN" w:bidi="ar"/>
        </w:rPr>
      </w:pPr>
      <w:r>
        <w:rPr>
          <w:rFonts w:hint="eastAsia" w:ascii="楷体_GB2312" w:hAnsi="楷体_GB2312" w:eastAsia="楷体_GB2312" w:cs="楷体_GB2312"/>
          <w:sz w:val="32"/>
          <w:szCs w:val="32"/>
          <w:highlight w:val="none"/>
          <w:lang w:val="en-US" w:eastAsia="zh-CN"/>
        </w:rPr>
        <w:t>第二十二条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专家、供应商等外部主体应通过平台账号注册功能申请新增账号，并对所提供信息的真实性、有效性负责。相关信息发生变更时，应及时登录平台完成信息更新。因信息不实或更新不及时导致的一切后果，由相关责任主体自行承担。</w:t>
      </w:r>
    </w:p>
    <w:p w14:paraId="4C310BBB">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华文仿宋" w:eastAsia="仿宋_GB2312" w:cs="Times New Roman"/>
          <w:b w:val="0"/>
          <w:bCs/>
          <w:kern w:val="2"/>
          <w:sz w:val="32"/>
          <w:szCs w:val="32"/>
        </w:rPr>
      </w:pPr>
      <w:r>
        <w:rPr>
          <w:rFonts w:hint="eastAsia" w:ascii="楷体_GB2312" w:hAnsi="楷体_GB2312" w:eastAsia="楷体_GB2312" w:cs="楷体_GB2312"/>
          <w:sz w:val="32"/>
          <w:szCs w:val="32"/>
          <w:highlight w:val="none"/>
          <w:lang w:val="en-US" w:eastAsia="zh-CN"/>
        </w:rPr>
        <w:t>第二十三条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密码安全管理。</w:t>
      </w:r>
      <w:r>
        <w:rPr>
          <w:rFonts w:hint="eastAsia" w:ascii="仿宋_GB2312" w:hAnsi="Calibri" w:eastAsia="仿宋_GB2312" w:cs="仿宋_GB2312"/>
          <w:b w:val="0"/>
          <w:bCs w:val="0"/>
          <w:color w:val="auto"/>
          <w:kern w:val="2"/>
          <w:sz w:val="32"/>
          <w:szCs w:val="32"/>
          <w:lang w:val="en-US" w:eastAsia="zh-CN" w:bidi="ar"/>
        </w:rPr>
        <w:t>平台实行密码定期更新机制，平台账号每6个月更换一次密码</w:t>
      </w:r>
      <w:r>
        <w:rPr>
          <w:rFonts w:hint="eastAsia" w:ascii="仿宋_GB2312" w:hAnsi="Calibri" w:eastAsia="仿宋_GB2312" w:cs="仿宋_GB2312"/>
          <w:color w:val="auto"/>
          <w:kern w:val="2"/>
          <w:sz w:val="32"/>
          <w:szCs w:val="32"/>
          <w:lang w:val="en-US" w:eastAsia="zh-CN" w:bidi="ar"/>
        </w:rPr>
        <w:t>。</w:t>
      </w:r>
      <w:r>
        <w:rPr>
          <w:rFonts w:hint="eastAsia" w:ascii="仿宋_GB2312" w:hAnsi="Calibri" w:eastAsia="仿宋_GB2312" w:cs="仿宋_GB2312"/>
          <w:b w:val="0"/>
          <w:bCs w:val="0"/>
          <w:kern w:val="2"/>
          <w:sz w:val="32"/>
          <w:szCs w:val="32"/>
          <w:lang w:val="en-US" w:eastAsia="zh-CN" w:bidi="ar"/>
        </w:rPr>
        <w:t>平台支持密码修改功能，可通过以下方式完成密码修改</w:t>
      </w:r>
      <w:r>
        <w:rPr>
          <w:rFonts w:hint="eastAsia" w:ascii="仿宋_GB2312" w:hAnsi="Calibri" w:eastAsia="仿宋_GB2312" w:cs="仿宋_GB2312"/>
          <w:kern w:val="2"/>
          <w:sz w:val="32"/>
          <w:szCs w:val="32"/>
          <w:lang w:val="en-US" w:eastAsia="zh-CN" w:bidi="ar"/>
        </w:rPr>
        <w:t>：</w:t>
      </w:r>
    </w:p>
    <w:p w14:paraId="5192125A">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lang w:val="en-US" w:eastAsia="zh-CN" w:bidi="ar"/>
        </w:rPr>
        <w:t>（一）</w:t>
      </w:r>
      <w:r>
        <w:rPr>
          <w:rFonts w:hint="eastAsia" w:ascii="仿宋_GB2312" w:hAnsi="Calibri" w:eastAsia="仿宋_GB2312" w:cs="仿宋_GB2312"/>
          <w:b w:val="0"/>
          <w:bCs w:val="0"/>
          <w:kern w:val="2"/>
          <w:sz w:val="32"/>
          <w:szCs w:val="32"/>
          <w:lang w:val="en-US" w:eastAsia="zh-CN" w:bidi="ar"/>
        </w:rPr>
        <w:t>已登录状态下，通过平台修改密码功能自行修改</w:t>
      </w:r>
      <w:r>
        <w:rPr>
          <w:rFonts w:hint="eastAsia" w:ascii="仿宋_GB2312" w:hAnsi="Calibri" w:eastAsia="仿宋_GB2312" w:cs="仿宋_GB2312"/>
          <w:kern w:val="2"/>
          <w:sz w:val="32"/>
          <w:szCs w:val="32"/>
          <w:lang w:val="en-US" w:eastAsia="zh-CN" w:bidi="ar"/>
        </w:rPr>
        <w:t>。</w:t>
      </w:r>
    </w:p>
    <w:p w14:paraId="5A44D7F5">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lang w:val="en-US" w:eastAsia="zh-CN" w:bidi="ar"/>
        </w:rPr>
        <w:t>（二）</w:t>
      </w:r>
      <w:r>
        <w:rPr>
          <w:rFonts w:hint="eastAsia" w:ascii="仿宋_GB2312" w:hAnsi="Calibri" w:eastAsia="仿宋_GB2312" w:cs="仿宋_GB2312"/>
          <w:b w:val="0"/>
          <w:bCs w:val="0"/>
          <w:kern w:val="2"/>
          <w:sz w:val="32"/>
          <w:szCs w:val="32"/>
          <w:lang w:val="en-US" w:eastAsia="zh-CN" w:bidi="ar"/>
        </w:rPr>
        <w:t>在登录页面点击“忘记密码”，通过绑定手机号接收验证码后重置密码</w:t>
      </w:r>
      <w:r>
        <w:rPr>
          <w:rFonts w:hint="eastAsia" w:ascii="仿宋_GB2312" w:hAnsi="Calibri" w:eastAsia="仿宋_GB2312" w:cs="仿宋_GB2312"/>
          <w:kern w:val="2"/>
          <w:sz w:val="32"/>
          <w:szCs w:val="32"/>
          <w:lang w:val="en-US" w:eastAsia="zh-CN" w:bidi="ar"/>
        </w:rPr>
        <w:t>。</w:t>
      </w:r>
    </w:p>
    <w:p w14:paraId="51199948">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Calibri" w:hAnsi="Calibri" w:eastAsia="仿宋" w:cs="Times New Roman"/>
          <w:kern w:val="2"/>
          <w:sz w:val="32"/>
          <w:szCs w:val="32"/>
        </w:rPr>
      </w:pPr>
      <w:r>
        <w:rPr>
          <w:rFonts w:hint="eastAsia" w:ascii="仿宋_GB2312" w:hAnsi="Calibri" w:eastAsia="仿宋_GB2312" w:cs="仿宋_GB2312"/>
          <w:kern w:val="2"/>
          <w:sz w:val="32"/>
          <w:szCs w:val="32"/>
          <w:lang w:val="en-US" w:eastAsia="zh-CN" w:bidi="ar"/>
        </w:rPr>
        <w:t>（三）</w:t>
      </w:r>
      <w:r>
        <w:rPr>
          <w:rFonts w:hint="eastAsia" w:ascii="仿宋_GB2312" w:hAnsi="Calibri" w:eastAsia="仿宋_GB2312" w:cs="仿宋_GB2312"/>
          <w:b w:val="0"/>
          <w:bCs w:val="0"/>
          <w:kern w:val="2"/>
          <w:sz w:val="32"/>
          <w:szCs w:val="32"/>
          <w:lang w:val="en-US" w:eastAsia="zh-CN" w:bidi="ar"/>
        </w:rPr>
        <w:t>因绑定手机号无法获取短信等原因无法通过上述方式重置的，可于登录页面点击“忘记密码”，下载并填写密码重置申请表，加盖本单位公章后上传系统，由招采服务中心审核通过后协助重置密码</w:t>
      </w:r>
      <w:r>
        <w:rPr>
          <w:rFonts w:hint="eastAsia" w:ascii="仿宋_GB2312" w:hAnsi="Calibri" w:eastAsia="仿宋_GB2312" w:cs="仿宋_GB2312"/>
          <w:kern w:val="2"/>
          <w:sz w:val="32"/>
          <w:szCs w:val="32"/>
          <w:lang w:val="en-US" w:eastAsia="zh-CN" w:bidi="ar"/>
        </w:rPr>
        <w:t>。</w:t>
      </w:r>
    </w:p>
    <w:p w14:paraId="16FCA0C2">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微软雅黑" w:eastAsia="仿宋_GB2312" w:cs="Times New Roman"/>
          <w:color w:val="000000"/>
          <w:kern w:val="2"/>
          <w:sz w:val="32"/>
          <w:szCs w:val="32"/>
        </w:rPr>
      </w:pPr>
      <w:r>
        <w:rPr>
          <w:rFonts w:hint="eastAsia" w:ascii="楷体_GB2312" w:hAnsi="楷体_GB2312" w:eastAsia="楷体_GB2312" w:cs="楷体_GB2312"/>
          <w:sz w:val="32"/>
          <w:szCs w:val="32"/>
          <w:highlight w:val="none"/>
          <w:lang w:val="en-US" w:eastAsia="zh-CN"/>
        </w:rPr>
        <w:t>第二十四条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kern w:val="2"/>
          <w:sz w:val="32"/>
          <w:szCs w:val="32"/>
          <w:lang w:val="en-US" w:eastAsia="zh-CN" w:bidi="ar"/>
        </w:rPr>
        <w:t>僵尸账号、离岗账号管控</w:t>
      </w:r>
      <w:r>
        <w:rPr>
          <w:rFonts w:hint="eastAsia" w:ascii="仿宋_GB2312" w:hAnsi="仿宋_GB2312" w:eastAsia="仿宋_GB2312" w:cs="仿宋_GB2312"/>
          <w:sz w:val="32"/>
          <w:szCs w:val="32"/>
          <w:lang w:eastAsia="zh-CN"/>
        </w:rPr>
        <w:t>：</w:t>
      </w:r>
    </w:p>
    <w:p w14:paraId="38F6ADB2">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lang w:val="en-US" w:eastAsia="zh-CN" w:bidi="ar"/>
        </w:rPr>
      </w:pPr>
      <w:r>
        <w:rPr>
          <w:rFonts w:hint="eastAsia" w:ascii="仿宋_GB2312" w:hAnsi="Calibri" w:eastAsia="仿宋_GB2312" w:cs="仿宋_GB2312"/>
          <w:kern w:val="2"/>
          <w:sz w:val="32"/>
          <w:szCs w:val="32"/>
          <w:lang w:val="en-US" w:eastAsia="zh-CN" w:bidi="ar"/>
        </w:rPr>
        <w:t>（一）</w:t>
      </w:r>
      <w:r>
        <w:rPr>
          <w:rFonts w:hint="eastAsia" w:ascii="仿宋_GB2312" w:hAnsi="Calibri" w:eastAsia="仿宋_GB2312" w:cs="仿宋_GB2312"/>
          <w:b w:val="0"/>
          <w:bCs w:val="0"/>
          <w:kern w:val="2"/>
          <w:sz w:val="32"/>
          <w:szCs w:val="32"/>
          <w:lang w:val="en-US" w:eastAsia="zh-CN" w:bidi="ar"/>
        </w:rPr>
        <w:t>为确保重要信息系统用户权限安全合规，各单位的系统管理员应依据员工离职、调岗等情况，及时调整本单位账号的</w:t>
      </w:r>
      <w:r>
        <w:rPr>
          <w:rFonts w:hint="eastAsia" w:ascii="仿宋_GB2312" w:hAnsi="Calibri" w:eastAsia="仿宋_GB2312" w:cs="仿宋_GB2312"/>
          <w:b w:val="0"/>
          <w:bCs w:val="0"/>
          <w:color w:val="auto"/>
          <w:kern w:val="2"/>
          <w:sz w:val="32"/>
          <w:szCs w:val="32"/>
          <w:lang w:val="en-US" w:eastAsia="zh-CN" w:bidi="ar"/>
        </w:rPr>
        <w:t>权限角色，严禁出现越权访问等情况</w:t>
      </w:r>
      <w:r>
        <w:rPr>
          <w:rFonts w:hint="eastAsia" w:ascii="仿宋_GB2312" w:hAnsi="Calibri" w:eastAsia="仿宋_GB2312" w:cs="仿宋_GB2312"/>
          <w:color w:val="auto"/>
          <w:kern w:val="2"/>
          <w:sz w:val="32"/>
          <w:szCs w:val="32"/>
          <w:lang w:val="en-US" w:eastAsia="zh-CN" w:bidi="ar"/>
        </w:rPr>
        <w:t>。</w:t>
      </w:r>
    </w:p>
    <w:p w14:paraId="1D585493">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lang w:val="en-US" w:eastAsia="zh-CN" w:bidi="ar"/>
        </w:rPr>
      </w:pPr>
      <w:r>
        <w:rPr>
          <w:rFonts w:hint="eastAsia" w:ascii="仿宋_GB2312" w:hAnsi="Calibri" w:eastAsia="仿宋_GB2312" w:cs="仿宋_GB2312"/>
          <w:color w:val="auto"/>
          <w:kern w:val="2"/>
          <w:sz w:val="32"/>
          <w:szCs w:val="32"/>
          <w:lang w:val="en-US" w:eastAsia="zh-CN" w:bidi="ar"/>
        </w:rPr>
        <w:t>（二）</w:t>
      </w:r>
      <w:r>
        <w:rPr>
          <w:rFonts w:hint="eastAsia" w:ascii="仿宋_GB2312" w:hAnsi="Calibri" w:eastAsia="仿宋_GB2312" w:cs="仿宋_GB2312"/>
          <w:b w:val="0"/>
          <w:bCs w:val="0"/>
          <w:color w:val="auto"/>
          <w:kern w:val="2"/>
          <w:sz w:val="32"/>
          <w:szCs w:val="32"/>
          <w:lang w:val="en-US" w:eastAsia="zh-CN" w:bidi="ar"/>
        </w:rPr>
        <w:t>原则上超过180天无登录行为的账号视为“僵尸账号”，平台自动识别并冻结“僵尸账号”，账号持有人可联系本单位系统管理员解冻账号</w:t>
      </w:r>
      <w:r>
        <w:rPr>
          <w:rFonts w:hint="eastAsia" w:ascii="仿宋_GB2312" w:hAnsi="Calibri" w:eastAsia="仿宋_GB2312" w:cs="仿宋_GB2312"/>
          <w:color w:val="auto"/>
          <w:kern w:val="2"/>
          <w:sz w:val="32"/>
          <w:szCs w:val="32"/>
          <w:lang w:val="en-US" w:eastAsia="zh-CN" w:bidi="ar"/>
        </w:rPr>
        <w:t>。</w:t>
      </w:r>
    </w:p>
    <w:p w14:paraId="2B8C5F21">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（三）</w:t>
      </w:r>
      <w:r>
        <w:rPr>
          <w:rFonts w:hint="eastAsia" w:ascii="仿宋_GB2312" w:hAnsi="仿宋_GB2312" w:eastAsia="仿宋_GB2312" w:cs="仿宋_GB2312"/>
          <w:sz w:val="32"/>
          <w:szCs w:val="32"/>
          <w:lang w:val="en-US" w:eastAsia="zh-CN"/>
        </w:rPr>
        <w:t>平台账号持有人是账号安全第一责任人，严禁向他人泄露账号、密码、短信验证码，转借账号造成信息泄露、违规操作的，由所属单位承担全部损失与管理责任。</w:t>
      </w:r>
    </w:p>
    <w:p w14:paraId="366CD878">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第五章  CA数字证书与电子签章管理</w:t>
      </w:r>
    </w:p>
    <w:p w14:paraId="23B9B17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微软雅黑" w:eastAsia="仿宋_GB2312" w:cs="仿宋_GB2312"/>
          <w:color w:val="000000"/>
          <w:kern w:val="2"/>
          <w:sz w:val="32"/>
          <w:szCs w:val="32"/>
          <w:lang w:val="en-US" w:eastAsia="zh-CN" w:bidi="ar"/>
        </w:rPr>
      </w:pPr>
      <w:r>
        <w:rPr>
          <w:rFonts w:hint="eastAsia" w:ascii="楷体_GB2312" w:hAnsi="楷体_GB2312" w:eastAsia="楷体_GB2312" w:cs="楷体_GB2312"/>
          <w:sz w:val="32"/>
          <w:szCs w:val="32"/>
          <w:highlight w:val="none"/>
          <w:lang w:val="en-US" w:eastAsia="zh-CN"/>
        </w:rPr>
        <w:t>第二十五条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微软雅黑" w:eastAsia="仿宋_GB2312" w:cs="仿宋_GB2312"/>
          <w:color w:val="auto"/>
          <w:kern w:val="2"/>
          <w:sz w:val="32"/>
          <w:szCs w:val="32"/>
          <w:lang w:val="en-US" w:eastAsia="zh-CN" w:bidi="ar"/>
        </w:rPr>
        <w:t>平台形成的交易过程文件，应当使用数字证书进行电子签名或加盖电子印章，确保数据电文不被篡改、不遗漏和可追溯。</w:t>
      </w:r>
      <w:r>
        <w:rPr>
          <w:rFonts w:hint="eastAsia" w:ascii="仿宋_GB2312" w:hAnsi="微软雅黑" w:eastAsia="仿宋_GB2312" w:cs="仿宋_GB2312"/>
          <w:color w:val="000000"/>
          <w:kern w:val="2"/>
          <w:sz w:val="32"/>
          <w:szCs w:val="32"/>
          <w:lang w:val="en-US" w:eastAsia="zh-CN" w:bidi="ar"/>
        </w:rPr>
        <w:t>平台电子化招投标项目中CA数字证书和电子签章的申领、制作、保管、使用、变更、注销等全流程管理，依据《中华人民共和国电子签名法》《电子招标投标办法》等法规执行。企业CA绑定单位电子公章，个人CA绑定经办人电子签名，与实体公章、手写签字具备同等法律效力。招采服务中心负责平台CA台账建档管理、业务咨询、挂失报备、异常签章核查及操作日志留存，日志留存期限不少于招投标档案法定存档年限。</w:t>
      </w:r>
    </w:p>
    <w:p w14:paraId="1E40520A">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黑体" w:hAnsi="宋体" w:eastAsia="黑体" w:cs="黑体"/>
          <w:b w:val="0"/>
          <w:bCs w:val="0"/>
          <w:kern w:val="2"/>
          <w:sz w:val="36"/>
          <w:szCs w:val="36"/>
        </w:rPr>
      </w:pPr>
      <w:r>
        <w:rPr>
          <w:rFonts w:hint="eastAsia" w:ascii="楷体_GB2312" w:hAnsi="楷体_GB2312" w:eastAsia="楷体_GB2312" w:cs="楷体_GB2312"/>
          <w:sz w:val="32"/>
          <w:szCs w:val="32"/>
          <w:highlight w:val="none"/>
          <w:lang w:val="en-US" w:eastAsia="zh-CN"/>
        </w:rPr>
        <w:t>第二十六条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微软雅黑" w:eastAsia="仿宋_GB2312" w:cs="仿宋_GB2312"/>
          <w:color w:val="000000"/>
          <w:kern w:val="2"/>
          <w:sz w:val="32"/>
          <w:szCs w:val="32"/>
          <w:lang w:val="en-US" w:eastAsia="zh-CN" w:bidi="ar"/>
        </w:rPr>
        <w:t>CA持证使用单位对本单位名下全部CA证书及电子签章负全责，</w:t>
      </w:r>
      <w:r>
        <w:rPr>
          <w:rFonts w:hint="eastAsia" w:ascii="仿宋_GB2312" w:hAnsi="Calibri" w:eastAsia="仿宋_GB2312" w:cs="仿宋_GB2312"/>
          <w:kern w:val="2"/>
          <w:sz w:val="32"/>
          <w:szCs w:val="32"/>
          <w:lang w:val="en-US" w:eastAsia="zh-CN" w:bidi="ar"/>
        </w:rPr>
        <w:t>各单位需设置至少一名签章管理员统筹</w:t>
      </w:r>
      <w:r>
        <w:rPr>
          <w:rFonts w:hint="eastAsia" w:ascii="仿宋_GB2312" w:hAnsi="微软雅黑" w:eastAsia="仿宋_GB2312" w:cs="仿宋_GB2312"/>
          <w:color w:val="000000"/>
          <w:kern w:val="2"/>
          <w:sz w:val="32"/>
          <w:szCs w:val="32"/>
          <w:lang w:val="en-US" w:eastAsia="zh-CN" w:bidi="ar"/>
        </w:rPr>
        <w:t>完成本单位签章管理工作，严禁租借、买卖、冒用。经办人应妥善保管个人CA证书及密码，不得转借他人。申领CA须提交营业执照、法定代表人身份证、授权委托书、经办人身份证、印模备案材料及申请表；信息变更须在5个工作日内提交申请；证书到期前30个工作日应发起续期；CA证书遗失或密码泄露须第一时间书面挂失。一枚企业CA绑定一套单位电子公章，一枚个人CA绑定一份个人电子签名，不可跨证书混用。</w:t>
      </w:r>
    </w:p>
    <w:p w14:paraId="58411428">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黑体" w:hAnsi="宋体" w:eastAsia="黑体" w:cs="黑体"/>
          <w:b w:val="0"/>
          <w:bCs w:val="0"/>
          <w:kern w:val="2"/>
          <w:sz w:val="36"/>
          <w:szCs w:val="36"/>
        </w:rPr>
      </w:pPr>
      <w:r>
        <w:rPr>
          <w:rFonts w:hint="eastAsia" w:ascii="楷体_GB2312" w:hAnsi="楷体_GB2312" w:eastAsia="楷体_GB2312" w:cs="楷体_GB2312"/>
          <w:sz w:val="32"/>
          <w:szCs w:val="32"/>
          <w:highlight w:val="none"/>
          <w:lang w:val="en-US" w:eastAsia="zh-CN"/>
        </w:rPr>
        <w:t>第二十七条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微软雅黑" w:eastAsia="仿宋_GB2312" w:cs="仿宋_GB2312"/>
          <w:color w:val="000000"/>
          <w:kern w:val="2"/>
          <w:sz w:val="32"/>
          <w:szCs w:val="32"/>
          <w:lang w:val="en-US" w:eastAsia="zh-CN" w:bidi="ar"/>
        </w:rPr>
        <w:t>CA签章适用于招标公告、招标文件、投标文件、澄清答疑、中标通知书等需单位盖章环节，以及授权文件、澄清说明、业务经办确认等需经办人签字环节。平台自动记录每一次CA登录、签章、验签行为，日志永久保存。转借、出租、冒用CA及电子签章的，平台暂停该主体全平台招投标业务权限，造成的损失由持证单位或个人承担；伪造材料骗取CA的，列入平台黑名单并上报行业监管部室。</w:t>
      </w:r>
    </w:p>
    <w:p w14:paraId="780CD6A0">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第六章  数据与报表管理</w:t>
      </w:r>
    </w:p>
    <w:p w14:paraId="4666C801">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微软雅黑" w:eastAsia="仿宋_GB2312" w:cs="Times New Roman"/>
          <w:color w:val="000000"/>
          <w:kern w:val="2"/>
          <w:sz w:val="32"/>
          <w:szCs w:val="32"/>
        </w:rPr>
      </w:pPr>
      <w:r>
        <w:rPr>
          <w:rFonts w:hint="eastAsia" w:ascii="楷体_GB2312" w:hAnsi="楷体_GB2312" w:eastAsia="楷体_GB2312" w:cs="楷体_GB2312"/>
          <w:sz w:val="32"/>
          <w:szCs w:val="32"/>
          <w:highlight w:val="none"/>
          <w:lang w:val="en-US" w:eastAsia="zh-CN"/>
        </w:rPr>
        <w:t>第二十八条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rPr>
        <w:t>平台所有业务、交易、签章、日志、CA、运维等数据应当真实、准确、完整，严禁伪造、篡改、隐匿、删除数据。</w:t>
      </w:r>
    </w:p>
    <w:p w14:paraId="09FBD890">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highlight w:val="none"/>
          <w:lang w:val="en-US" w:eastAsia="zh-CN"/>
        </w:rPr>
        <w:t>第二十九条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rPr>
        <w:t>数据修正分级管控：</w:t>
      </w:r>
    </w:p>
    <w:p w14:paraId="04502F9D">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（一）数据修正应优先通过前台业务流程（包括更正、撤回、退回、澄清、补正等）完成。前台业务流程可满足数据修正需求的，应通过前台业务流程完成前端采购业务数据更正流程。</w:t>
      </w:r>
    </w:p>
    <w:p w14:paraId="2EC4E1C9">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（二）前台业务流程存在系统功能缺陷、无法通过正常业务流程完成数据修正时，申请部门必须提交专项数据修改工单申请，经公司领导审核后审批后方可操作。</w:t>
      </w:r>
    </w:p>
    <w:p w14:paraId="2CCC5879">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kern w:val="2"/>
          <w:sz w:val="32"/>
          <w:szCs w:val="32"/>
          <w:lang w:val="en-US" w:eastAsia="zh-CN" w:bidi="ar"/>
        </w:rPr>
      </w:pPr>
      <w:r>
        <w:rPr>
          <w:rFonts w:hint="eastAsia" w:ascii="楷体_GB2312" w:hAnsi="楷体_GB2312" w:eastAsia="楷体_GB2312" w:cs="楷体_GB2312"/>
          <w:sz w:val="32"/>
          <w:szCs w:val="32"/>
          <w:highlight w:val="none"/>
          <w:lang w:val="en-US" w:eastAsia="zh-CN"/>
        </w:rPr>
        <w:t>第三十条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仿宋_GB2312" w:eastAsia="仿宋_GB2312" w:cs="仿宋_GB2312"/>
          <w:sz w:val="32"/>
          <w:szCs w:val="32"/>
          <w:lang w:val="en-US" w:eastAsia="zh-CN"/>
        </w:rPr>
        <w:t>平台数据报表指用于集团主管部室及招采服务中心管理决策使用的报表，平台报表功能仅限集团主管部室及招采服务中心使用。</w:t>
      </w:r>
    </w:p>
    <w:p w14:paraId="38D4E12B">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第七章  系统运维、安全与应急管理</w:t>
      </w:r>
    </w:p>
    <w:p w14:paraId="3A79C874">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第三十一条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招采服务中心负责平台故障的排查与处置。对开标评标等平台关键流程节点实施重点保障，提前排查系统负载，避免高峰期出现故障，及时处理业务异常并响应操作咨询。</w:t>
      </w:r>
    </w:p>
    <w:p w14:paraId="46034D3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第三十二条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平台优化升级应遵循稳定优先、合规适配、需求导向的原则，选择业务低峰期实施。升级完成后，由招采服务中心统一组织全功能测试、压力测试、安全测试、数据同步测试及兼容性测试，全部通过后方可上线。</w:t>
      </w:r>
    </w:p>
    <w:p w14:paraId="46A5CE99">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第三十三条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平台服务器、网络及终端设备应实行专用管控。平台应部署防火墙、入侵检测、病毒防护及加密机制，招采服务中心实时监控，及时处置异常访问和网络攻击。</w:t>
      </w:r>
    </w:p>
    <w:p w14:paraId="3E4151E6">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第三十四条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平台自动留存登录、操作、签章等日志，日志应具备防篡改机制，不可删除。</w:t>
      </w:r>
    </w:p>
    <w:p w14:paraId="04ED31CD">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第三十五条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招采服务中心遵循快速响应、分类处置的原则，根据停电、断网、系统故障等突发事件的具体情况，及时采取相应处置措施。</w:t>
      </w:r>
    </w:p>
    <w:p w14:paraId="4A775B66">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第三十六条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信息系统严格按照国家网络安全等级保护制度要求，按期完成等级保护备案与测评工作，针对测评发现的不符合项制定整改方案并闭环落地，确保系统持续符合对应等级保护标准要求。</w:t>
      </w:r>
    </w:p>
    <w:p w14:paraId="7D37E2F2">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第三十七条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基于分层防御理念构建系统安全技术防护体系，覆盖网络边界、主机终端、应用服务等层面，有效抵御网络攻击、恶意爬虫爬取、非法入侵等各类安全威胁。建立系统漏洞全生命周期管理机制，定期对信息系统开展全面漏洞扫描，覆盖操作系统、数据库、中间件、应用组件、开源框架等全技术栈。</w:t>
      </w:r>
    </w:p>
    <w:p w14:paraId="152F83DF">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第三十八条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Calibri" w:eastAsia="仿宋_GB2312" w:cs="仿宋_GB2312"/>
          <w:b w:val="0"/>
          <w:bCs w:val="0"/>
          <w:kern w:val="2"/>
          <w:sz w:val="32"/>
          <w:szCs w:val="32"/>
          <w:lang w:val="en-US" w:eastAsia="zh-CN" w:bidi="ar"/>
        </w:rPr>
        <w:t>定期开展全面的渗透测试，系统重大版本更新、架构调整、核心功能上线后须追加开展专项渗透测试。渗透测试应模拟真实攻击场景，从外部攻击者视角全面验证系统安全防护能力，深度挖掘潜在安全风险，持续提升系统抵御恶意入侵、非法渗透的综合能力。</w:t>
      </w:r>
    </w:p>
    <w:p w14:paraId="509A81E2">
      <w:pPr>
        <w:keepNext w:val="0"/>
        <w:keepLines w:val="0"/>
        <w:pageBreakBefore w:val="0"/>
        <w:widowControl/>
        <w:kinsoku/>
        <w:wordWrap/>
        <w:overflowPunct/>
        <w:topLinePunct w:val="0"/>
        <w:autoSpaceDE/>
        <w:autoSpaceDN/>
        <w:bidi w:val="0"/>
        <w:spacing w:line="560" w:lineRule="exact"/>
        <w:ind w:right="128" w:rightChars="40"/>
        <w:jc w:val="center"/>
        <w:textAlignment w:val="auto"/>
        <w:outlineLvl w:val="1"/>
        <w:rPr>
          <w:rFonts w:hint="eastAsia" w:ascii="黑体" w:hAnsi="黑体" w:eastAsia="黑体" w:cs="宋体"/>
          <w:kern w:val="0"/>
          <w:sz w:val="32"/>
          <w:szCs w:val="32"/>
          <w:highlight w:val="none"/>
          <w:shd w:val="clear" w:color="auto" w:fill="FFFFFF"/>
          <w:lang w:val="en-US" w:eastAsia="zh-CN"/>
        </w:rPr>
      </w:pPr>
      <w:r>
        <w:rPr>
          <w:rFonts w:hint="eastAsia" w:ascii="黑体" w:hAnsi="黑体" w:eastAsia="黑体" w:cs="宋体"/>
          <w:kern w:val="0"/>
          <w:sz w:val="32"/>
          <w:szCs w:val="32"/>
          <w:highlight w:val="none"/>
          <w:shd w:val="clear" w:color="auto" w:fill="FFFFFF"/>
          <w:lang w:val="en-US" w:eastAsia="zh-CN"/>
        </w:rPr>
        <w:t>第八章  附则</w:t>
      </w:r>
    </w:p>
    <w:p w14:paraId="2977E5DE">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rPr>
          <w:rFonts w:hint="eastAsia" w:ascii="仿宋_GB2312" w:hAnsi="Calibri" w:eastAsia="仿宋_GB2312" w:cs="仿宋_GB2312"/>
          <w:b w:val="0"/>
          <w:bCs w:val="0"/>
          <w:kern w:val="2"/>
          <w:sz w:val="32"/>
          <w:szCs w:val="32"/>
        </w:rPr>
      </w:pPr>
      <w:r>
        <w:rPr>
          <w:rFonts w:hint="eastAsia" w:ascii="楷体_GB2312" w:hAnsi="楷体_GB2312" w:eastAsia="楷体_GB2312" w:cs="楷体_GB2312"/>
          <w:sz w:val="32"/>
          <w:szCs w:val="32"/>
          <w:highlight w:val="none"/>
          <w:lang w:val="en-US" w:eastAsia="zh-CN"/>
        </w:rPr>
        <w:t>第三十九条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Times New Roman" w:eastAsia="仿宋_GB2312"/>
          <w:sz w:val="32"/>
          <w:szCs w:val="32"/>
          <w:highlight w:val="none"/>
        </w:rPr>
        <w:t>本办法由招采服务中心负责解释，未尽事宜以国家法律法规和集团有关规定为准</w:t>
      </w:r>
      <w:r>
        <w:rPr>
          <w:rFonts w:hint="eastAsia" w:ascii="仿宋_GB2312" w:hAnsi="微软雅黑" w:eastAsia="仿宋_GB2312" w:cs="仿宋_GB2312"/>
          <w:color w:val="000000"/>
          <w:kern w:val="2"/>
          <w:sz w:val="32"/>
          <w:szCs w:val="32"/>
          <w:lang w:val="en-US" w:eastAsia="zh-CN" w:bidi="ar"/>
        </w:rPr>
        <w:t>。</w:t>
      </w:r>
    </w:p>
    <w:p w14:paraId="48F66A39">
      <w:pPr>
        <w:keepNext w:val="0"/>
        <w:keepLines w:val="0"/>
        <w:pageBreakBefore w:val="0"/>
        <w:widowControl w:val="0"/>
        <w:numPr>
          <w:ilvl w:val="0"/>
          <w:numId w:val="0"/>
        </w:numPr>
        <w:suppressLineNumbers w:val="0"/>
        <w:tabs>
          <w:tab w:val="left" w:pos="420"/>
        </w:tabs>
        <w:kinsoku/>
        <w:wordWrap/>
        <w:overflowPunct/>
        <w:topLinePunct w:val="0"/>
        <w:autoSpaceDN/>
        <w:bidi w:val="0"/>
        <w:spacing w:before="0" w:beforeAutospacing="0" w:after="0" w:afterAutospacing="0" w:line="560" w:lineRule="exact"/>
        <w:ind w:right="0" w:rightChars="0" w:firstLine="640" w:firstLineChars="200"/>
        <w:jc w:val="both"/>
        <w:textAlignment w:val="auto"/>
      </w:pPr>
      <w:r>
        <w:rPr>
          <w:rFonts w:hint="eastAsia" w:ascii="楷体_GB2312" w:hAnsi="楷体_GB2312" w:eastAsia="楷体_GB2312" w:cs="楷体_GB2312"/>
          <w:sz w:val="32"/>
          <w:szCs w:val="32"/>
          <w:highlight w:val="none"/>
          <w:lang w:val="en-US" w:eastAsia="zh-CN"/>
        </w:rPr>
        <w:t>第四十条</w:t>
      </w:r>
      <w:r>
        <w:rPr>
          <w:rFonts w:hint="eastAsia" w:ascii="仿宋_GB2312" w:hAnsi="仿宋" w:eastAsia="仿宋_GB2312" w:cs="宋体"/>
          <w:kern w:val="0"/>
          <w:sz w:val="32"/>
          <w:szCs w:val="32"/>
          <w:highlight w:val="none"/>
          <w:shd w:val="clear" w:color="auto" w:fill="FFFFFF"/>
          <w:lang w:val="en-US" w:eastAsia="zh-CN"/>
        </w:rPr>
        <w:t xml:space="preserve"> </w:t>
      </w:r>
      <w:r>
        <w:rPr>
          <w:rFonts w:hint="eastAsia" w:ascii="仿宋_GB2312" w:hAnsi="微软雅黑" w:eastAsia="仿宋_GB2312" w:cs="仿宋_GB2312"/>
          <w:color w:val="000000"/>
          <w:kern w:val="2"/>
          <w:sz w:val="32"/>
          <w:szCs w:val="32"/>
          <w:lang w:val="en-US" w:eastAsia="zh-CN" w:bidi="ar"/>
        </w:rPr>
        <w:t>本办法自发布之日起施行，</w:t>
      </w:r>
      <w:r>
        <w:rPr>
          <w:rFonts w:hint="eastAsia" w:ascii="仿宋_GB2312" w:hAnsi="Times New Roman" w:eastAsia="仿宋_GB2312" w:cs="Times New Roman"/>
          <w:sz w:val="32"/>
          <w:szCs w:val="32"/>
          <w:highlight w:val="none"/>
          <w:lang w:val="en-US" w:eastAsia="zh-CN"/>
        </w:rPr>
        <w:t>原</w:t>
      </w:r>
      <w:r>
        <w:rPr>
          <w:rFonts w:hint="default" w:ascii="仿宋_GB2312" w:hAnsi="等线" w:eastAsia="仿宋_GB2312" w:cs="Times New Roman"/>
          <w:sz w:val="32"/>
          <w:szCs w:val="32"/>
        </w:rPr>
        <w:t>《天津港（集团）有限公司</w:t>
      </w:r>
      <w:r>
        <w:rPr>
          <w:rFonts w:hint="eastAsia" w:ascii="仿宋_GB2312" w:hAnsi="等线" w:eastAsia="仿宋_GB2312" w:cs="Times New Roman"/>
          <w:sz w:val="32"/>
          <w:szCs w:val="32"/>
          <w:lang w:val="en-US" w:eastAsia="zh-CN"/>
        </w:rPr>
        <w:t>招标采购</w:t>
      </w:r>
      <w:r>
        <w:rPr>
          <w:rFonts w:hint="default" w:ascii="仿宋_GB2312" w:hAnsi="等线" w:eastAsia="仿宋_GB2312" w:cs="Times New Roman"/>
          <w:sz w:val="32"/>
          <w:szCs w:val="32"/>
        </w:rPr>
        <w:t>服务中心</w:t>
      </w:r>
      <w:r>
        <w:rPr>
          <w:rFonts w:hint="eastAsia" w:ascii="仿宋_GB2312" w:hAnsi="等线" w:eastAsia="仿宋_GB2312" w:cs="Times New Roman"/>
          <w:sz w:val="32"/>
          <w:szCs w:val="32"/>
          <w:lang w:val="en-US" w:eastAsia="zh-CN"/>
        </w:rPr>
        <w:t>天津港阳光智采平台管理办法</w:t>
      </w:r>
      <w:r>
        <w:rPr>
          <w:rFonts w:hint="default" w:ascii="仿宋_GB2312" w:hAnsi="等线" w:eastAsia="仿宋_GB2312" w:cs="Times New Roman"/>
          <w:sz w:val="32"/>
          <w:szCs w:val="32"/>
        </w:rPr>
        <w:t>》</w:t>
      </w:r>
      <w:r>
        <w:rPr>
          <w:rFonts w:hint="eastAsia" w:ascii="仿宋_GB2312" w:hAnsi="Times New Roman" w:eastAsia="仿宋_GB2312" w:cs="Times New Roman"/>
          <w:sz w:val="32"/>
          <w:szCs w:val="32"/>
          <w:highlight w:val="none"/>
          <w:lang w:eastAsia="zh-CN"/>
        </w:rPr>
        <w:t>（</w:t>
      </w:r>
      <w:r>
        <w:rPr>
          <w:rFonts w:hint="eastAsia" w:ascii="仿宋_GB2312" w:hAnsi="华文仿宋" w:eastAsia="仿宋_GB2312"/>
          <w:sz w:val="32"/>
          <w:szCs w:val="32"/>
        </w:rPr>
        <w:t>津港招采</w:t>
      </w:r>
      <w:r>
        <w:rPr>
          <w:rFonts w:hint="eastAsia" w:ascii="仿宋_GB2312" w:hAnsi="华文仿宋" w:eastAsia="仿宋_GB2312"/>
          <w:sz w:val="32"/>
          <w:szCs w:val="32"/>
          <w:lang w:val="en-US" w:eastAsia="zh-CN"/>
        </w:rPr>
        <w:t>平台运行</w:t>
      </w:r>
      <w:r>
        <w:rPr>
          <w:rFonts w:hint="default" w:ascii="仿宋_GB2312" w:hAnsi="华文仿宋" w:eastAsia="仿宋_GB2312"/>
          <w:sz w:val="32"/>
          <w:szCs w:val="32"/>
        </w:rPr>
        <w:t>部</w:t>
      </w:r>
      <w:r>
        <w:rPr>
          <w:rFonts w:hint="eastAsia" w:ascii="仿宋_GB2312" w:hAnsi="宋体" w:eastAsia="仿宋_GB2312"/>
          <w:sz w:val="32"/>
          <w:szCs w:val="32"/>
        </w:rPr>
        <w:t>〔20</w:t>
      </w:r>
      <w:r>
        <w:rPr>
          <w:rFonts w:hint="default" w:ascii="仿宋_GB2312" w:hAnsi="宋体" w:eastAsia="仿宋_GB2312"/>
          <w:sz w:val="32"/>
          <w:szCs w:val="32"/>
        </w:rPr>
        <w:t>24</w:t>
      </w:r>
      <w:r>
        <w:rPr>
          <w:rFonts w:hint="eastAsia" w:ascii="仿宋_GB2312" w:hAnsi="宋体" w:eastAsia="仿宋_GB2312"/>
          <w:sz w:val="32"/>
          <w:szCs w:val="32"/>
        </w:rPr>
        <w:t>〕</w:t>
      </w:r>
      <w:r>
        <w:rPr>
          <w:rFonts w:hint="eastAsia" w:ascii="仿宋_GB2312" w:hAnsi="宋体" w:eastAsia="仿宋_GB2312"/>
          <w:sz w:val="32"/>
          <w:szCs w:val="32"/>
          <w:lang w:val="en-US" w:eastAsia="zh-CN"/>
        </w:rPr>
        <w:t>2</w:t>
      </w:r>
      <w:r>
        <w:rPr>
          <w:rFonts w:hint="eastAsia" w:ascii="仿宋_GB2312" w:hAnsi="宋体" w:eastAsia="仿宋_GB2312"/>
          <w:sz w:val="32"/>
          <w:szCs w:val="32"/>
        </w:rPr>
        <w:t>号</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lang w:val="en-US" w:eastAsia="zh-CN"/>
        </w:rPr>
        <w:t>同时废止</w:t>
      </w:r>
      <w:r>
        <w:rPr>
          <w:rFonts w:hint="eastAsia" w:ascii="仿宋_GB2312" w:hAnsi="Times New Roman" w:eastAsia="仿宋_GB2312" w:cs="Times New Roman"/>
          <w:sz w:val="32"/>
          <w:szCs w:val="32"/>
          <w:highlight w:val="none"/>
        </w:rPr>
        <w:t>。</w:t>
      </w:r>
    </w:p>
    <w:sectPr>
      <w:footerReference r:id="rId3" w:type="default"/>
      <w:pgSz w:w="11906" w:h="16838"/>
      <w:pgMar w:top="2098" w:right="1474" w:bottom="1984" w:left="1587"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24213B-518E-47FF-B33E-23716CB1BF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A7838CA-BCAB-4830-92DD-C57F0C4DBB32}"/>
  </w:font>
  <w:font w:name="仿宋">
    <w:panose1 w:val="02010609060101010101"/>
    <w:charset w:val="86"/>
    <w:family w:val="modern"/>
    <w:pitch w:val="default"/>
    <w:sig w:usb0="800002BF" w:usb1="38CF7CFA" w:usb2="00000016" w:usb3="00000000" w:csb0="00040001" w:csb1="00000000"/>
    <w:embedRegular r:id="rId3" w:fontKey="{36EBFEDB-F251-44E6-8833-731DD0B0F638}"/>
  </w:font>
  <w:font w:name="方正小标宋简体">
    <w:panose1 w:val="02000000000000000000"/>
    <w:charset w:val="86"/>
    <w:family w:val="auto"/>
    <w:pitch w:val="default"/>
    <w:sig w:usb0="00000001" w:usb1="08000000" w:usb2="00000000" w:usb3="00000000" w:csb0="00040000" w:csb1="00000000"/>
    <w:embedRegular r:id="rId4" w:fontKey="{39B7A8AE-286C-4EC6-8386-A9DBEFB4FBF1}"/>
  </w:font>
  <w:font w:name="仿宋_GB2312">
    <w:panose1 w:val="02010609030101010101"/>
    <w:charset w:val="86"/>
    <w:family w:val="modern"/>
    <w:pitch w:val="default"/>
    <w:sig w:usb0="00000001" w:usb1="080E0000" w:usb2="00000000" w:usb3="00000000" w:csb0="00040000" w:csb1="00000000"/>
    <w:embedRegular r:id="rId5" w:fontKey="{03856EC7-D0BE-41E5-A010-52F0634C3EF8}"/>
  </w:font>
  <w:font w:name="楷体_GB2312">
    <w:panose1 w:val="02010609030101010101"/>
    <w:charset w:val="86"/>
    <w:family w:val="modern"/>
    <w:pitch w:val="default"/>
    <w:sig w:usb0="00000001" w:usb1="080E0000" w:usb2="00000000" w:usb3="00000000" w:csb0="00040000" w:csb1="00000000"/>
    <w:embedRegular r:id="rId6" w:fontKey="{5D2FAF78-B6FF-4D3D-950F-0C26F8DA7F1D}"/>
  </w:font>
  <w:font w:name="华文仿宋">
    <w:panose1 w:val="02010600040101010101"/>
    <w:charset w:val="86"/>
    <w:family w:val="auto"/>
    <w:pitch w:val="default"/>
    <w:sig w:usb0="00000287" w:usb1="080F0000" w:usb2="00000000" w:usb3="00000000" w:csb0="0004009F" w:csb1="DFD70000"/>
    <w:embedRegular r:id="rId7" w:fontKey="{5BA790E4-2A4A-4F63-8052-87173058E4CE}"/>
  </w:font>
  <w:font w:name="微软雅黑">
    <w:panose1 w:val="020B0503020204020204"/>
    <w:charset w:val="86"/>
    <w:family w:val="swiss"/>
    <w:pitch w:val="default"/>
    <w:sig w:usb0="80000287" w:usb1="2ACF3C50" w:usb2="00000016" w:usb3="00000000" w:csb0="0004001F" w:csb1="00000000"/>
    <w:embedRegular r:id="rId8" w:fontKey="{459A2A21-FEBA-4BAE-B78C-6ACF37C407B2}"/>
  </w:font>
  <w:font w:name="等线">
    <w:panose1 w:val="02010600030101010101"/>
    <w:charset w:val="86"/>
    <w:family w:val="auto"/>
    <w:pitch w:val="default"/>
    <w:sig w:usb0="A00002BF" w:usb1="38CF7CFA" w:usb2="00000016" w:usb3="00000000" w:csb0="0004000F" w:csb1="00000000"/>
    <w:embedRegular r:id="rId9" w:fontKey="{BB6B224C-15B3-483F-85CF-EA8CCB9F3E52}"/>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0" w:fontKey="{48D0CF39-A72B-407B-BBC1-2D66DD63EB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F0C7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DA0A03">
                          <w:pPr>
                            <w:pStyle w:val="4"/>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PAGE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9DA0A03">
                    <w:pPr>
                      <w:pStyle w:val="4"/>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PAGE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A200AD"/>
    <w:rsid w:val="064B2A4E"/>
    <w:rsid w:val="071D4AEC"/>
    <w:rsid w:val="09F84B9C"/>
    <w:rsid w:val="0B1C3A38"/>
    <w:rsid w:val="0D2E787B"/>
    <w:rsid w:val="100131FC"/>
    <w:rsid w:val="13B30CB1"/>
    <w:rsid w:val="14CF38C9"/>
    <w:rsid w:val="158C276C"/>
    <w:rsid w:val="182B350C"/>
    <w:rsid w:val="18786026"/>
    <w:rsid w:val="19742C91"/>
    <w:rsid w:val="1A79583B"/>
    <w:rsid w:val="1B6F54BE"/>
    <w:rsid w:val="1BC25F36"/>
    <w:rsid w:val="1CB3003D"/>
    <w:rsid w:val="1D8043C4"/>
    <w:rsid w:val="1D882867"/>
    <w:rsid w:val="1EFF2FFD"/>
    <w:rsid w:val="1F0B19A2"/>
    <w:rsid w:val="1F2504CB"/>
    <w:rsid w:val="1F3C5FFF"/>
    <w:rsid w:val="1F6A7927"/>
    <w:rsid w:val="21380A48"/>
    <w:rsid w:val="217D5D41"/>
    <w:rsid w:val="21D86F1D"/>
    <w:rsid w:val="22EE01FF"/>
    <w:rsid w:val="238E0DF3"/>
    <w:rsid w:val="28136333"/>
    <w:rsid w:val="291E7556"/>
    <w:rsid w:val="2964062C"/>
    <w:rsid w:val="2A840371"/>
    <w:rsid w:val="2AF10798"/>
    <w:rsid w:val="2D0068BE"/>
    <w:rsid w:val="2D750387"/>
    <w:rsid w:val="2E3164B5"/>
    <w:rsid w:val="2F0D0E1E"/>
    <w:rsid w:val="2F155D6A"/>
    <w:rsid w:val="2F191EB9"/>
    <w:rsid w:val="2F5E5B1E"/>
    <w:rsid w:val="31C07AE8"/>
    <w:rsid w:val="31CA1248"/>
    <w:rsid w:val="31F42769"/>
    <w:rsid w:val="324A05DB"/>
    <w:rsid w:val="326E1FE1"/>
    <w:rsid w:val="327E2276"/>
    <w:rsid w:val="329B339C"/>
    <w:rsid w:val="32CD5E81"/>
    <w:rsid w:val="3538602B"/>
    <w:rsid w:val="365E6E86"/>
    <w:rsid w:val="37865C12"/>
    <w:rsid w:val="39CB4D56"/>
    <w:rsid w:val="3B9D177C"/>
    <w:rsid w:val="3C090BBF"/>
    <w:rsid w:val="3D98739B"/>
    <w:rsid w:val="3DD516A1"/>
    <w:rsid w:val="41685D9E"/>
    <w:rsid w:val="41840CE4"/>
    <w:rsid w:val="418E271A"/>
    <w:rsid w:val="433B1FA6"/>
    <w:rsid w:val="45196F0D"/>
    <w:rsid w:val="45303661"/>
    <w:rsid w:val="456D6663"/>
    <w:rsid w:val="45A74B5B"/>
    <w:rsid w:val="4689127A"/>
    <w:rsid w:val="482E6A79"/>
    <w:rsid w:val="486024AF"/>
    <w:rsid w:val="499B5057"/>
    <w:rsid w:val="4AD827D0"/>
    <w:rsid w:val="4C44559B"/>
    <w:rsid w:val="4CCA0389"/>
    <w:rsid w:val="4CCB417C"/>
    <w:rsid w:val="4CF6364B"/>
    <w:rsid w:val="4D023B34"/>
    <w:rsid w:val="4D5A3970"/>
    <w:rsid w:val="4E616639"/>
    <w:rsid w:val="508F1B83"/>
    <w:rsid w:val="522D3844"/>
    <w:rsid w:val="52542852"/>
    <w:rsid w:val="525B6B2A"/>
    <w:rsid w:val="529249F4"/>
    <w:rsid w:val="52B862F8"/>
    <w:rsid w:val="53817F16"/>
    <w:rsid w:val="53B139D4"/>
    <w:rsid w:val="55211DD0"/>
    <w:rsid w:val="57BD0D84"/>
    <w:rsid w:val="58495F26"/>
    <w:rsid w:val="5A5A5442"/>
    <w:rsid w:val="5CD54DC2"/>
    <w:rsid w:val="5D777C27"/>
    <w:rsid w:val="5ED044DB"/>
    <w:rsid w:val="5FFB4B3F"/>
    <w:rsid w:val="614B7400"/>
    <w:rsid w:val="618741B1"/>
    <w:rsid w:val="646B1B68"/>
    <w:rsid w:val="65B512EC"/>
    <w:rsid w:val="66C8504F"/>
    <w:rsid w:val="683230C8"/>
    <w:rsid w:val="6975406F"/>
    <w:rsid w:val="69C42446"/>
    <w:rsid w:val="6D4B2536"/>
    <w:rsid w:val="6EC32132"/>
    <w:rsid w:val="6ECF7BCC"/>
    <w:rsid w:val="709661BE"/>
    <w:rsid w:val="70F93CF2"/>
    <w:rsid w:val="73683E42"/>
    <w:rsid w:val="73CD1EF7"/>
    <w:rsid w:val="744C2A5A"/>
    <w:rsid w:val="746F7E29"/>
    <w:rsid w:val="76CE3DD5"/>
    <w:rsid w:val="7CDF5389"/>
    <w:rsid w:val="7FD00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4"/>
      <w:lang w:val="en-US" w:eastAsia="zh-CN" w:bidi="ar-SA"/>
    </w:rPr>
  </w:style>
  <w:style w:type="paragraph" w:styleId="2">
    <w:name w:val="heading 2"/>
    <w:basedOn w:val="1"/>
    <w:next w:val="1"/>
    <w:unhideWhenUsed/>
    <w:qFormat/>
    <w:uiPriority w:val="0"/>
    <w:pPr>
      <w:keepNext/>
      <w:keepLines/>
      <w:spacing w:before="260" w:after="260" w:line="413" w:lineRule="auto"/>
      <w:jc w:val="center"/>
      <w:outlineLvl w:val="1"/>
    </w:pPr>
    <w:rPr>
      <w:rFonts w:ascii="Arial" w:hAnsi="Arial" w:eastAsia="黑体"/>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5373</Words>
  <Characters>5401</Characters>
  <Lines>1</Lines>
  <Paragraphs>1</Paragraphs>
  <TotalTime>2</TotalTime>
  <ScaleCrop>false</ScaleCrop>
  <LinksUpToDate>false</LinksUpToDate>
  <CharactersWithSpaces>5457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2026-08-11T02:28:00Z</dcterms:created>
  <dc:creator>Lenovo</dc:creator>
  <cp:lastModifiedBy>张春</cp:lastModifiedBy>
  <dcterms:modified xsi:type="dcterms:W3CDTF">2026-10-10T08:23:25Z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eyJoZGlkIjoiYmMxNmE1ZjFjMTk1YjcyOGJhNGNmOWM0Nzk2NjE2ZTUiLCJ1c2VySWQiOiIxNzEzOTAxNDY1In0=</vt:lpwstr>
  </property>
  <property fmtid="{D5CDD505-2E9C-101B-9397-08002B2CF9AE}" pid="4" name="ICV">
    <vt:lpwstr>05D3A73FB9D64C5F93D1F930D751CD11_13</vt:lpwstr>
  </property>
</Properties>
</file>